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F2" w:rsidRPr="00147AF2" w:rsidRDefault="00147AF2" w:rsidP="0014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кафедрой закреплены учебные аудитории для проведения занятий лекционного типа №201, для проведения занятий семинарского типа №201а, №203, №685, помещения для хранения и профилактического обслуживания учебного оборудования № 205, №677, № 686, зоологический музей № 202, </w:t>
      </w:r>
      <w:proofErr w:type="spellStart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аквариальная</w:t>
      </w:r>
      <w:proofErr w:type="spellEnd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№105, преподавательские № 204, 210, 305, 678, 680, 681, которые оснащены соответствующей мебелью</w:t>
      </w:r>
      <w:r w:rsidRPr="001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оборудованием.</w:t>
      </w:r>
    </w:p>
    <w:p w:rsidR="00147AF2" w:rsidRPr="00147AF2" w:rsidRDefault="00147AF2" w:rsidP="00147A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Материально-техническое обеспечение кафедры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850"/>
        <w:gridCol w:w="5216"/>
      </w:tblGrid>
      <w:tr w:rsidR="00147AF2" w:rsidRPr="00147AF2" w:rsidTr="004D3DFB">
        <w:trPr>
          <w:trHeight w:val="571"/>
        </w:trPr>
        <w:tc>
          <w:tcPr>
            <w:tcW w:w="540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Наименование учебных аудиторий и помещений. Номер аудитории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Оснащенность учебных аудиторий и помещений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 № 201 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26 посадочных мест, рабочее место преподавателя, оснащённые учебной мебелью, доска аудиторная ДК12, 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Picture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трибуна, ноутбук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404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Fus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1 баннер, 2 макета, 1 физическая карта мира, 5 стендов.                                                                              Список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:  Kaspersky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Endpoint Security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бизнеса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,  Microsoft Windows Vista Business Russian Upgrade Academic OPEN No Level ,  Microsoft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OfficeProPlus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2016 RUS OLP NL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Acdmc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. 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OLP NL AE.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Учебная аудитория для проведения занятий семинарского типа № 201а  </w:t>
            </w:r>
          </w:p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147AF2" w:rsidRPr="00147AF2" w:rsidRDefault="00147AF2" w:rsidP="00147AF2">
            <w:pPr>
              <w:contextualSpacing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20 посадочных мест, рабочее место преподавателя, оснащённые учебной мебелью, н</w:t>
            </w:r>
            <w:r w:rsidRPr="00147AF2">
              <w:rPr>
                <w:rFonts w:eastAsia="Times New Roman"/>
                <w:sz w:val="24"/>
                <w:szCs w:val="24"/>
              </w:rPr>
              <w:t>оутбук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/>
              </w:rPr>
              <w:t>iRUPatriot</w:t>
            </w:r>
            <w:proofErr w:type="spellEnd"/>
            <w:r w:rsidRPr="00147AF2">
              <w:rPr>
                <w:rFonts w:eastAsia="Times New Roman"/>
                <w:sz w:val="24"/>
                <w:szCs w:val="24"/>
              </w:rPr>
              <w:t xml:space="preserve"> 404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/>
              </w:rPr>
              <w:t>Fus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доска аудиторная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Master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Picture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128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171 см  (1 шт.), мультимедиа-проектор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чучело Глухаря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таксидермическое</w:t>
            </w:r>
            <w:proofErr w:type="spellEnd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изделие)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голова изюбря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винтовка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Cometa</w:t>
            </w:r>
            <w:proofErr w:type="spellEnd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4,5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(1 шт.), винтовка пневматич.к.4,5 МР 512 (1 шт.), винтовка пневматич.к.4,5 МР 512 – (1 шт.), макет ММГ автомата Калашникова (1 шт.), макет КО44 винтовки (1 шт.), капкан (10 шт.), капкан №0 (5 шт.), капкан №1 (10 шт.), труба «Скаут» с увеличением 20 и 30 крат (1 шт.), подзорная  3Т Навигатор 25-75*(1 шт.), штатив универсальный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Yukon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(модель 29013) (1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бинокль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tasco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30*35 (2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цифровая фотокамера модель №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DMCLS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5   (1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череп кабана (3шт),  череп косули (5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), череп медведя (1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 череп рыси, череп волка, шкура медведя, шкура волка, шкура зайца, г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олова изюбря, голова сибирской косулю, чучело Глухаря, чучело Тетерева, рога косули, рога северного оленя, рога благородного оленя.</w:t>
            </w:r>
          </w:p>
          <w:p w:rsidR="00147AF2" w:rsidRPr="00147AF2" w:rsidRDefault="00147AF2" w:rsidP="00147AF2">
            <w:pPr>
              <w:contextualSpacing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7AF2">
              <w:rPr>
                <w:rFonts w:eastAsia="Times New Roman"/>
                <w:b/>
                <w:sz w:val="24"/>
                <w:szCs w:val="24"/>
                <w:lang w:eastAsia="ru-RU"/>
              </w:rPr>
              <w:t>Стенды: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ондатра, волк, рысь, соболь, бурый медведь, лось, благородный олень, кабан.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Зоологический музей № 202 ауд. </w:t>
            </w:r>
          </w:p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изюбр муляж (1 шт.), кабан (1 шт.), кабарга (1 шт.), козел горный муляж (1 шт.), лисица (1 шт.), медведь муляж (1 шт.), глухарь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таксодермич.изд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.)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изд.) Горностай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таксодермич.изд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.) Кулик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. изд.)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Россомаха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таксодермич.изд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.) Тетерев (1 шт.), чучело (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таксодермич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изд.), Тетерка (1 шт.), Чучело изюбра (1 шт.), Чучело лисы-корсак (1 шт.), чучело ондатры (1 шт.), чучело северного оленя (1 шт.), чучело Соболь в композиции (1 шт.)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№203.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24 посадочных места, рабочее место преподавателя, оснащённые учебной мебелью, доска напольная, мультимедиа-проектор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Picture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компьютер (системный блок, монитор, мышь и клавиатура)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сист.блок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ФРИКОМ ОПТИМ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II X, Терминал (тонкий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клиент)+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монитор Beng17+клав. +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мышь+сет.фильтр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. блок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IntelCore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i5+монитор+сет.фильтр+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 резервного копиров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. и мониторинга (12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 с возможностью подключения к сети Интернет и доступом в ЭИОС. 5 стендов. Список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: Kaspersky Endpoint Security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бизнеса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, Microsoft Windows Vista Business Russian Upgrade Academic OPEN No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Level ,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Microsoft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OfficeProPlus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2016 RUS OLP NL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Acdmc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OLP NL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AE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ПО:Программный</w:t>
            </w:r>
            <w:proofErr w:type="spellEnd"/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комплекс «Коралл для учебных заведений», сетевая версия на 10 рабочих мест (Лицензионный договор № 14-10/19 от 14 октября 2019 года).Комплекс программ по животноводству на ПК от ООО «РЦ «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Плинор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»: «ИАС «Рационы». Расчет кормовых рационов. Учебная версия до 20 пользователей; ИАС «СЕЛЭКС» - Мясной скот. Племенной учет в хозяйствах. Учебная версия до 20 пользователей. (Лицензионный договор № 126/3 от 10 марта 2021 года)http://www.vniro.ru/ru/nauchnaya-deyatelnost/rekomendatsii-odu/programmno-metodicheskoe-obespechenieМодель TISVPA для оценки запасов промысловых рыбhttp://www.vniro.ru/ru/nauchnaya-deyatelnost/rekomendatsii-odu/programmno-metodicheskoe-obespechenieМодель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Combi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4:0 для оценки запасов промысловых рыбhttps://molecularflipbook.org/Flipbook программа для молекулярного моделирования http://avogadro.cc/Avogadro программа для молекулярного моделирования.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Помещение для хранения и профилактического обслуживания учебного оборудования № 205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– Микроскоп МБС-10с013сч (5 шт.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  Микроскоп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МБС-9 С 013счета (1 шт.), Микроскоп "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" (4 шт.) (4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 Микроскоп "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" (4 шт.) шт. 4, Навигатор (1 шт.), Навигатор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Etrex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20 GPS,GLONASS С Картой Памяти (3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Биопласт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скарпион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Внутренние органы лягушки (1 шт.), Слайд альбом рыбы (1 шт.), Строение лягушки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Строение рыбы (1 шт.), Строение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брюхоного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моллюска (1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Ледобур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ЛР-150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Лыжи (5 шт.), Лыжи (5 шт.), Тритон с личинкой (1 шт.), Удлинитель для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ледобура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Влажные препараты,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микропрепораты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, сачки, лупы, пинцеты,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иглы, кюветы.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Аквариальная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105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(61,6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Аквариум.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обогрев.,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фильтр. помпа. компрессор, губка крупнопористая, аксессуар (1 шт.), Стерилизатор ультрафиолетовый </w:t>
            </w:r>
            <w:r w:rsidRPr="00147AF2">
              <w:rPr>
                <w:rFonts w:eastAsia="Times New Roman"/>
                <w:sz w:val="24"/>
                <w:szCs w:val="24"/>
                <w:lang w:val="en-US" w:eastAsia="ru-RU"/>
              </w:rPr>
              <w:t>JEBO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 </w:t>
            </w:r>
          </w:p>
          <w:p w:rsidR="00147AF2" w:rsidRPr="00147AF2" w:rsidRDefault="00147AF2" w:rsidP="00147AF2">
            <w:pPr>
              <w:tabs>
                <w:tab w:val="left" w:pos="36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Аквариумы емкостью 240л- 6шт., Аквариум емкостью 60л -1шт.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,  Аквариумные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стойки-3шт.,  Сифон, компрессор,  Фильтры, Обогреватели, Аквариумные аксессуары, Демонстрационные живые коллекции по декоративному рыбоводству 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Учебная аудитория для проведения занятий семинарского типа № 685</w:t>
            </w:r>
          </w:p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20 посадочных мест, рабочее место преподавателя, оснащённые учебной мебелью, доска аудиторная (1 шт.),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экран настенный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val="en-US" w:eastAsia="ru-RU"/>
              </w:rPr>
              <w:t>Lumien</w:t>
            </w:r>
            <w:proofErr w:type="spellEnd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val="en-US" w:eastAsia="ru-RU"/>
              </w:rPr>
              <w:t>Master</w:t>
            </w:r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shd w:val="clear" w:color="auto" w:fill="FFFFFF"/>
                <w:lang w:val="en-US" w:eastAsia="ru-RU"/>
              </w:rPr>
              <w:t>Picture</w:t>
            </w: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1 шт.), мультимедиа-проектор 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 ноутбук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SonyVaio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 SVE151J11V (1 шт.), мультимедийный проектор, экран проекционный настенный, учебные стенды</w:t>
            </w:r>
          </w:p>
        </w:tc>
      </w:tr>
      <w:tr w:rsidR="00147AF2" w:rsidRPr="00147AF2" w:rsidTr="004D3DFB">
        <w:tc>
          <w:tcPr>
            <w:tcW w:w="54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Помещение для хранения и профилактического обслуживания учебного оборудования № 677 </w:t>
            </w:r>
          </w:p>
        </w:tc>
        <w:tc>
          <w:tcPr>
            <w:tcW w:w="5216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Анемометр инв. (1 шт.</w:t>
            </w:r>
            <w:proofErr w:type="gram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),и</w:t>
            </w:r>
            <w:proofErr w:type="gram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шума и вибрации (1 шт.), намордник (3 шт.), ошейник (2 шт.), поводок (2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ринговка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(1 шт.), халат репс -(1 шт.), цепь-удавка  (1 шт.), шлейка (1 шт.), барометр-анероид  (1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гемацитометр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-кондуктометрический  (1 шт.), люксметр-Ю  (1 шт.), УГ – 2 (1 шт.),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сист.блок</w:t>
            </w:r>
            <w:proofErr w:type="spellEnd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 Р42800  (1 шт.), монитор DELL (1 шт.) </w:t>
            </w:r>
          </w:p>
        </w:tc>
      </w:tr>
    </w:tbl>
    <w:p w:rsidR="00147AF2" w:rsidRPr="00147AF2" w:rsidRDefault="00147AF2" w:rsidP="00147AF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F2" w:rsidRPr="00147AF2" w:rsidRDefault="00147AF2" w:rsidP="00147AF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стратегического академического лидерства «Приоритет2030» были составлены проекты специализированных аудиторий: ауд. 203 «Компьютерный класс, класс ихтиологии и рыбоводства», ауд. 204 «</w:t>
      </w:r>
      <w:proofErr w:type="gramStart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proofErr w:type="gramEnd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по биологии», ауд.205 «Кабинет специализированный по водным биоресурсам и </w:t>
      </w:r>
      <w:proofErr w:type="spellStart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7AF2" w:rsidRPr="00147AF2" w:rsidRDefault="00147AF2" w:rsidP="00147AF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получено мультимедийное оборудование для 3 аудиторий, закрепленных за кафедрой.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399"/>
        <w:gridCol w:w="4979"/>
        <w:gridCol w:w="1417"/>
      </w:tblGrid>
      <w:tr w:rsidR="00147AF2" w:rsidRPr="00147AF2" w:rsidTr="004D3DFB">
        <w:tc>
          <w:tcPr>
            <w:tcW w:w="552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5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Номер и наименование специализированной аудитории</w:t>
            </w:r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Компьютерная оргтехника и оборудование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Количество комплектов</w:t>
            </w:r>
          </w:p>
        </w:tc>
      </w:tr>
      <w:tr w:rsidR="00147AF2" w:rsidRPr="00147AF2" w:rsidTr="004D3DFB">
        <w:tc>
          <w:tcPr>
            <w:tcW w:w="552" w:type="dxa"/>
            <w:vMerge w:val="restart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 xml:space="preserve">Аудитория 203, Компьютерный класс, класс ихтиологии и </w:t>
            </w:r>
            <w:proofErr w:type="spellStart"/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Интерактивная панель [LMP8602MLRU]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3840 x 2160 @ 60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Hz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ИК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тачскрин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 касаний, яркость 350cd/m2, контрастность 1200:1, матовое покрытие,4GB DDR4 + 32GB,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8.0, Звук 2x10 Вт +1x15 Вт, WEB 8MP,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6шт, пульт ДУ, 2 стилуса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AF2" w:rsidRPr="00147AF2" w:rsidTr="004D3DFB">
        <w:tc>
          <w:tcPr>
            <w:tcW w:w="552" w:type="dxa"/>
            <w:vMerge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i5-10400/H510/8GB*2/SSD 500GB/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iGPU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/черный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Монитор 23.8" MSI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Modern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MD241PWчерный 1920x1080@75 Гц, IPS, 5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 :</w:t>
            </w:r>
            <w:proofErr w:type="gram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1, 250 Кд/м², 178°/178°, HDMI, USB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-C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Клавиатура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Gembird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KB-8355U, USB, черный, лазерная гравировка символов, кабель 1,85м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Мышь A4Tech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Fstyler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FM12 черный оптическая (1200dpi) USB (3but)</w:t>
            </w: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Сетевой фильтр 1,8м (5 розеток,) белый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7AF2" w:rsidRPr="00147AF2" w:rsidTr="004D3DFB">
        <w:trPr>
          <w:trHeight w:val="1150"/>
        </w:trPr>
        <w:tc>
          <w:tcPr>
            <w:tcW w:w="552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147AF2" w:rsidRPr="00147AF2" w:rsidRDefault="00147AF2" w:rsidP="00147A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sz w:val="24"/>
                <w:szCs w:val="24"/>
                <w:lang w:eastAsia="ru-RU"/>
              </w:rPr>
              <w:t>Аудитория 204, Кабинет специализированный по биологии</w:t>
            </w:r>
          </w:p>
        </w:tc>
        <w:tc>
          <w:tcPr>
            <w:tcW w:w="5541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Интерактивная панель [LMP8602MLRU]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3840 x 2160 @ 60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Hz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ИК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тачскрин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 касаний, яркость 350cd/m2, контрастность 1200:1, матовое покрытие,4GB DDR4 + 32GB,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8.0, Звук 2x10 Вт +1x15 Вт, WEB 8MP,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6шт, пульт ДУ, 2 стилуса</w:t>
            </w:r>
          </w:p>
        </w:tc>
        <w:tc>
          <w:tcPr>
            <w:tcW w:w="1217" w:type="dxa"/>
          </w:tcPr>
          <w:p w:rsidR="00147AF2" w:rsidRPr="00147AF2" w:rsidRDefault="00147AF2" w:rsidP="00147A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7A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47AF2" w:rsidRDefault="00147AF2" w:rsidP="00147A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E3" w:rsidRPr="006216E3" w:rsidRDefault="006216E3" w:rsidP="006216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06.03.01 «Биология»</w:t>
      </w:r>
    </w:p>
    <w:p w:rsidR="006216E3" w:rsidRPr="006216E3" w:rsidRDefault="006216E3" w:rsidP="00621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16E3">
        <w:rPr>
          <w:rFonts w:ascii="Times New Roman" w:eastAsia="Calibri" w:hAnsi="Times New Roman" w:cs="Times New Roman"/>
          <w:iCs/>
          <w:sz w:val="28"/>
          <w:szCs w:val="28"/>
        </w:rPr>
        <w:t>Для проведения учебных, производственной и преддипломной практик Академией заключены договоры со следующими предприятиями, учреждениями и организациям: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16E3">
              <w:rPr>
                <w:rFonts w:eastAsia="Times New Roman"/>
                <w:sz w:val="24"/>
                <w:szCs w:val="24"/>
                <w:lang w:eastAsia="ru-RU"/>
              </w:rPr>
              <w:t>Предприятие, организация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16E3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ФГБУ «Государственный природный заповедник «</w:t>
            </w:r>
            <w:proofErr w:type="spellStart"/>
            <w:r w:rsidRPr="006216E3">
              <w:rPr>
                <w:rFonts w:eastAsia="Calibri"/>
                <w:iCs/>
                <w:sz w:val="24"/>
                <w:szCs w:val="24"/>
              </w:rPr>
              <w:t>Азас</w:t>
            </w:r>
            <w:proofErr w:type="spellEnd"/>
            <w:r w:rsidRPr="006216E3">
              <w:rPr>
                <w:rFonts w:eastAsia="Calibri"/>
                <w:iCs/>
                <w:sz w:val="24"/>
                <w:szCs w:val="24"/>
              </w:rPr>
              <w:t>»»; (Республика Тыва)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25.03.2021 – 25.03.2026.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ФГБУ «Национальный парк «Чикой» (Забайкальский край);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19.03.2021 – 19.03.2026.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РГБУ «Природный парк «Тыва»»;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02.03.2021 – 02.03.2026.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ОАО «Улан-Удэнский Промысловик»;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02.03.2021 – 02.03.2026.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Бурятская республиканская общественная организация охотников и рыболовов (</w:t>
            </w:r>
            <w:proofErr w:type="spellStart"/>
            <w:r w:rsidRPr="006216E3">
              <w:rPr>
                <w:rFonts w:eastAsia="Calibri"/>
                <w:iCs/>
                <w:sz w:val="24"/>
                <w:szCs w:val="24"/>
              </w:rPr>
              <w:t>БРОООиР</w:t>
            </w:r>
            <w:proofErr w:type="spellEnd"/>
            <w:r w:rsidRPr="006216E3">
              <w:rPr>
                <w:rFonts w:eastAsia="Calibri"/>
                <w:iCs/>
                <w:sz w:val="24"/>
                <w:szCs w:val="24"/>
              </w:rPr>
              <w:t>);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02.03.2021 – 02.03.2026.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ФГБУ «Байкальский государственный заповедник»;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02.02.2021 – 02.02.2026.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БУ РБ «Природопользование и охрана окружающей среды Республики Бурятия (БУ «</w:t>
            </w:r>
            <w:proofErr w:type="spellStart"/>
            <w:r w:rsidRPr="006216E3">
              <w:rPr>
                <w:rFonts w:eastAsia="Calibri"/>
                <w:iCs/>
                <w:sz w:val="24"/>
                <w:szCs w:val="24"/>
              </w:rPr>
              <w:t>Бурприрода</w:t>
            </w:r>
            <w:proofErr w:type="spellEnd"/>
            <w:r w:rsidRPr="006216E3">
              <w:rPr>
                <w:rFonts w:eastAsia="Calibri"/>
                <w:iCs/>
                <w:sz w:val="24"/>
                <w:szCs w:val="24"/>
              </w:rPr>
              <w:t>»);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29.01.2021 – 29.01.2026.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 xml:space="preserve">Министерство природных ресурсов и экологии Республики Тыва; 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29.01.2021 – 29.01.2026.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</w:t>
            </w:r>
            <w:proofErr w:type="spellStart"/>
            <w:r w:rsidRPr="006216E3">
              <w:rPr>
                <w:rFonts w:eastAsia="Calibri"/>
                <w:iCs/>
                <w:sz w:val="24"/>
                <w:szCs w:val="24"/>
              </w:rPr>
              <w:t>Бурприроднадзор</w:t>
            </w:r>
            <w:proofErr w:type="spellEnd"/>
            <w:r w:rsidRPr="006216E3">
              <w:rPr>
                <w:rFonts w:eastAsia="Calibri"/>
                <w:iCs/>
                <w:sz w:val="24"/>
                <w:szCs w:val="24"/>
              </w:rPr>
              <w:t>);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25.01.2021 – 25.01.2026.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ООО «Новый Промой»;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22.01.2021 – 22.01.2026.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 xml:space="preserve">Государственный комитет по охране животного мира и водных геологических ресурсов Республики Тыва. 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25.04.2021 – 25.04.2026.</w:t>
            </w:r>
          </w:p>
        </w:tc>
      </w:tr>
      <w:tr w:rsidR="006216E3" w:rsidRPr="006216E3" w:rsidTr="004D3DFB">
        <w:tc>
          <w:tcPr>
            <w:tcW w:w="846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6216E3" w:rsidRPr="006216E3" w:rsidRDefault="006216E3" w:rsidP="0062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Договор о практической подготовке обучающихся от 28.02.2022 с ФГБУ «Национальный парк «</w:t>
            </w:r>
            <w:proofErr w:type="spellStart"/>
            <w:r w:rsidRPr="006216E3">
              <w:rPr>
                <w:rFonts w:eastAsia="Calibri"/>
                <w:iCs/>
                <w:sz w:val="24"/>
                <w:szCs w:val="24"/>
              </w:rPr>
              <w:t>Алханай</w:t>
            </w:r>
            <w:proofErr w:type="spellEnd"/>
            <w:r w:rsidRPr="006216E3">
              <w:rPr>
                <w:rFonts w:eastAsia="Calibri"/>
                <w:iCs/>
                <w:sz w:val="24"/>
                <w:szCs w:val="24"/>
              </w:rPr>
              <w:t>» (Забайкальский край).</w:t>
            </w:r>
          </w:p>
        </w:tc>
        <w:tc>
          <w:tcPr>
            <w:tcW w:w="3115" w:type="dxa"/>
          </w:tcPr>
          <w:p w:rsidR="006216E3" w:rsidRPr="006216E3" w:rsidRDefault="006216E3" w:rsidP="006216E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216E3">
              <w:rPr>
                <w:rFonts w:eastAsia="Calibri"/>
                <w:iCs/>
                <w:sz w:val="24"/>
                <w:szCs w:val="24"/>
              </w:rPr>
              <w:t>28.02.2022 – 28.02.2027</w:t>
            </w:r>
          </w:p>
        </w:tc>
      </w:tr>
    </w:tbl>
    <w:p w:rsidR="006216E3" w:rsidRPr="006216E3" w:rsidRDefault="006216E3" w:rsidP="00621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216E3" w:rsidRPr="006216E3" w:rsidRDefault="006216E3" w:rsidP="006216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216E3">
        <w:rPr>
          <w:rFonts w:ascii="Times New Roman" w:eastAsia="Calibri" w:hAnsi="Times New Roman" w:cs="Times New Roman"/>
          <w:iCs/>
          <w:sz w:val="28"/>
          <w:szCs w:val="28"/>
        </w:rPr>
        <w:t>Для выполнения проведения научно-исследовательской работы, проведения практических занятий создана учебная пасека в составе технологического факультета при кафедре (Приказ №97 от 5 апреля 2006 г).</w:t>
      </w:r>
    </w:p>
    <w:p w:rsidR="006216E3" w:rsidRPr="006216E3" w:rsidRDefault="006216E3" w:rsidP="006216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E3">
        <w:rPr>
          <w:rFonts w:ascii="Times New Roman" w:eastAsia="Calibri" w:hAnsi="Times New Roman" w:cs="Times New Roman"/>
          <w:iCs/>
          <w:sz w:val="28"/>
          <w:szCs w:val="28"/>
        </w:rPr>
        <w:t>Для совершенствования практической подготовки студентов технологического факультета по направлению «Биология» организована учебная научно-производственная база «Дельта» технологического факультета согласно договора о совместной деятельности в области подготовки обучающихся от 16 февраля 2012 г с ЗАО «Новый Промой» (приказ №37 от 17 февраля 2012 г.).</w:t>
      </w:r>
      <w:r w:rsidRPr="006216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16E3" w:rsidRDefault="006216E3" w:rsidP="00147A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16E3" w:rsidRPr="00147AF2" w:rsidRDefault="006216E3" w:rsidP="00147A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C" w:rsidRDefault="0014424C"/>
    <w:sectPr w:rsidR="0014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2"/>
    <w:rsid w:val="0014424C"/>
    <w:rsid w:val="00147AF2"/>
    <w:rsid w:val="006216E3"/>
    <w:rsid w:val="009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1D47-8E3D-48E4-A6F4-F67C261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F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248-11</dc:creator>
  <cp:keywords/>
  <dc:description/>
  <cp:lastModifiedBy>248-11</cp:lastModifiedBy>
  <cp:revision>3</cp:revision>
  <dcterms:created xsi:type="dcterms:W3CDTF">2023-07-25T09:58:00Z</dcterms:created>
  <dcterms:modified xsi:type="dcterms:W3CDTF">2023-07-25T10:01:00Z</dcterms:modified>
</cp:coreProperties>
</file>