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80" w:rsidRDefault="00370FA8" w:rsidP="00370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Научно-исследовательская база для осуществления научно-исследовательской деятельности по направлению</w:t>
      </w:r>
      <w:r w:rsidRPr="00370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4B9" w:rsidRPr="003A44EE" w:rsidRDefault="00370FA8" w:rsidP="00370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0FA8">
        <w:rPr>
          <w:rFonts w:ascii="Times New Roman" w:hAnsi="Times New Roman" w:cs="Times New Roman"/>
          <w:b/>
          <w:sz w:val="28"/>
          <w:szCs w:val="28"/>
        </w:rPr>
        <w:t>2</w:t>
      </w:r>
      <w:r w:rsidR="003A44EE">
        <w:rPr>
          <w:rFonts w:ascii="Times New Roman" w:hAnsi="Times New Roman" w:cs="Times New Roman"/>
          <w:b/>
          <w:sz w:val="28"/>
          <w:szCs w:val="28"/>
        </w:rPr>
        <w:t>1</w:t>
      </w:r>
      <w:r w:rsidRPr="00370FA8">
        <w:rPr>
          <w:rFonts w:ascii="Times New Roman" w:hAnsi="Times New Roman" w:cs="Times New Roman"/>
          <w:b/>
          <w:sz w:val="28"/>
          <w:szCs w:val="28"/>
        </w:rPr>
        <w:t>.0</w:t>
      </w:r>
      <w:r w:rsidR="003A44EE">
        <w:rPr>
          <w:rFonts w:ascii="Times New Roman" w:hAnsi="Times New Roman" w:cs="Times New Roman"/>
          <w:b/>
          <w:sz w:val="28"/>
          <w:szCs w:val="28"/>
        </w:rPr>
        <w:t>4</w:t>
      </w:r>
      <w:r w:rsidRPr="00370FA8">
        <w:rPr>
          <w:rFonts w:ascii="Times New Roman" w:hAnsi="Times New Roman" w:cs="Times New Roman"/>
          <w:b/>
          <w:sz w:val="28"/>
          <w:szCs w:val="28"/>
        </w:rPr>
        <w:t xml:space="preserve">.02 </w:t>
      </w:r>
      <w:r w:rsidR="003A44EE">
        <w:rPr>
          <w:rFonts w:ascii="Times New Roman" w:hAnsi="Times New Roman" w:cs="Times New Roman"/>
          <w:b/>
          <w:sz w:val="28"/>
          <w:szCs w:val="28"/>
        </w:rPr>
        <w:t xml:space="preserve">Землеустройство и кадастры </w:t>
      </w:r>
    </w:p>
    <w:p w:rsidR="006C60D5" w:rsidRDefault="006C60D5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Научно-исследовательская база для осуществления научно-исследовательской </w:t>
      </w:r>
      <w:r w:rsidR="00670D9F">
        <w:rPr>
          <w:rFonts w:ascii="Times New Roman" w:hAnsi="Times New Roman" w:cs="Times New Roman"/>
          <w:sz w:val="28"/>
          <w:szCs w:val="28"/>
        </w:rPr>
        <w:t>деятельности по направлению 21.04.02 Землеустройство и кадастры сформирована на основе кадрового, информационного, материально-технического и других ресурсов.</w:t>
      </w:r>
    </w:p>
    <w:p w:rsidR="009B7D5A" w:rsidRPr="00432CBA" w:rsidRDefault="00670D9F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Квалификация руководящих и научно-педагогических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работников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академии соответствует квалификационным характеристикам,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установленным в Едином квалификационном справочнике должностей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руководителей, специалистов и служащих, разделе «Квалификационные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характеристики должностей руководителей и специалистов высшего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профессионального и дополнительного профессионального образования»,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утвержденном приказом Министерства здравоохранения и социального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развития Российской Федерации от 11 января 2011 г. № 1н (зарегистрирован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 23</w:t>
      </w:r>
      <w:r w:rsidR="00542F1F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марта 2011 г.,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регистрационный № 20237).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Реализация основной профессиональной образовательной программы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магистратуры обеспечивается руководящими и научно-педагогическими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кадрами академии, а также лицами, привлекаемыми к реализации программы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магистратуры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на условиях гражданско-правового договора.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Доля штатных научно-педагогических работников (в приведенных к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целочисленным значениям ставок) составляет не менее 60 процентов от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общего количества научно-педагогических работников организации.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Доля научно-педагогических работников (в приведенных к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целочисленным значениям ставок), имеющих образование, соответствующее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профилю преподаваемой дисциплины (модуля), в общем числе научно-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3A73">
        <w:rPr>
          <w:rFonts w:ascii="Times New Roman" w:hAnsi="Times New Roman" w:cs="Times New Roman"/>
          <w:sz w:val="28"/>
          <w:szCs w:val="28"/>
        </w:rPr>
        <w:t>едагогических работников, реализующих программу составляет не менее 70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процентов.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lastRenderedPageBreak/>
        <w:t>Доля научно-педагогических работников (в приведенных к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целочисленным значениям ставок), имеющих ученую степень (в том числе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ученую степень, присвоенную за рубежом и признаваемую в Российской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Федерации) и (или) учёное звание (в том числе учёное звание,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полученное за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рубежом и признаваемое в Российской Федерации), в общем числе научно-педагогических работников, реализующих программу составляет не менее 75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процентов.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Доля работников (в приведенных к целочисленным значениям ставок)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из числа руководителей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и работников организаций, деятельность которых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связана с направленностью (профилем) реализуемой программы (имеющих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стаж работы в данной профессиональной области не менее 3 лет), в общем</w:t>
      </w:r>
      <w:r w:rsidR="00810597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числе работников, реализующих программу, составляет не менее 10</w:t>
      </w:r>
      <w:r w:rsidR="00542F1F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процентов.</w:t>
      </w:r>
    </w:p>
    <w:p w:rsidR="00A83A73" w:rsidRDefault="00A83A73" w:rsidP="00B34CF8">
      <w:pPr>
        <w:spacing w:after="0" w:line="360" w:lineRule="auto"/>
        <w:ind w:right="142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34CF8">
        <w:rPr>
          <w:rFonts w:ascii="Times New Roman" w:hAnsi="Times New Roman" w:cs="Times New Roman"/>
          <w:sz w:val="28"/>
          <w:szCs w:val="28"/>
        </w:rPr>
        <w:t>Так, к учебному процессу привлечены следующие руководители и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работники иных организаций, осуществляющими трудовую деятельность в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профессиональной сфере, соответствующей профессиональной деятельности,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 xml:space="preserve">к которой готовятся выпускники программы: </w:t>
      </w:r>
      <w:proofErr w:type="spellStart"/>
      <w:r w:rsidR="009D29D4" w:rsidRPr="00B34CF8">
        <w:rPr>
          <w:rFonts w:ascii="Times New Roman" w:eastAsia="Times New Roman" w:hAnsi="Times New Roman" w:cs="Times New Roman"/>
          <w:sz w:val="28"/>
          <w:szCs w:val="28"/>
        </w:rPr>
        <w:t>Гатапов</w:t>
      </w:r>
      <w:proofErr w:type="spellEnd"/>
      <w:r w:rsidR="009D29D4" w:rsidRPr="00B34CF8">
        <w:rPr>
          <w:rFonts w:ascii="Times New Roman" w:eastAsia="Times New Roman" w:hAnsi="Times New Roman" w:cs="Times New Roman"/>
          <w:sz w:val="28"/>
          <w:szCs w:val="28"/>
        </w:rPr>
        <w:t xml:space="preserve"> М.А. </w:t>
      </w:r>
      <w:r w:rsidR="009D29D4" w:rsidRPr="00B34C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D4" w:rsidRPr="00B34CF8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министра имущественных и земельных отношений Республики Бурятия - председатель Комитета земельно-имущественной политики и землепользования; </w:t>
      </w:r>
      <w:proofErr w:type="spellStart"/>
      <w:r w:rsidR="000C4903" w:rsidRPr="00B34CF8">
        <w:rPr>
          <w:rFonts w:ascii="Times New Roman" w:eastAsia="Times New Roman" w:hAnsi="Times New Roman" w:cs="Times New Roman"/>
          <w:sz w:val="28"/>
          <w:szCs w:val="28"/>
        </w:rPr>
        <w:t>Митапов</w:t>
      </w:r>
      <w:proofErr w:type="spellEnd"/>
      <w:r w:rsidR="000C4903" w:rsidRPr="00B34CF8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="000C4903" w:rsidRPr="00B34CF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C4903" w:rsidRPr="00B34CF8">
        <w:rPr>
          <w:rFonts w:ascii="Times New Roman" w:eastAsia="Times New Roman" w:hAnsi="Times New Roman" w:cs="Times New Roman"/>
          <w:sz w:val="28"/>
          <w:szCs w:val="28"/>
        </w:rPr>
        <w:t xml:space="preserve">директор ООО «Регион+»; </w:t>
      </w:r>
      <w:proofErr w:type="spellStart"/>
      <w:r w:rsidRPr="00B34CF8">
        <w:rPr>
          <w:rFonts w:ascii="Times New Roman" w:hAnsi="Times New Roman" w:cs="Times New Roman"/>
          <w:sz w:val="28"/>
          <w:szCs w:val="28"/>
        </w:rPr>
        <w:t>Зундуева</w:t>
      </w:r>
      <w:proofErr w:type="spellEnd"/>
      <w:r w:rsidRPr="00B34CF8">
        <w:rPr>
          <w:rFonts w:ascii="Times New Roman" w:hAnsi="Times New Roman" w:cs="Times New Roman"/>
          <w:sz w:val="28"/>
          <w:szCs w:val="28"/>
        </w:rPr>
        <w:t xml:space="preserve"> Е.А.</w:t>
      </w:r>
      <w:r w:rsid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–</w:t>
      </w:r>
      <w:r w:rsid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главный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специалист отдела строительства и земельных отношений ООО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Управляющая компания территорий опережающего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социально</w:t>
      </w:r>
      <w:r w:rsidR="00810597" w:rsidRPr="00B34CF8">
        <w:rPr>
          <w:rFonts w:ascii="Times New Roman" w:hAnsi="Times New Roman" w:cs="Times New Roman"/>
          <w:sz w:val="28"/>
          <w:szCs w:val="28"/>
        </w:rPr>
        <w:t>-</w:t>
      </w:r>
      <w:r w:rsidRPr="00B34CF8">
        <w:rPr>
          <w:rFonts w:ascii="Times New Roman" w:hAnsi="Times New Roman" w:cs="Times New Roman"/>
          <w:sz w:val="28"/>
          <w:szCs w:val="28"/>
        </w:rPr>
        <w:t xml:space="preserve">экономического развития в Республике Бурятия; </w:t>
      </w:r>
      <w:proofErr w:type="spellStart"/>
      <w:r w:rsidRPr="00B34CF8">
        <w:rPr>
          <w:rFonts w:ascii="Times New Roman" w:hAnsi="Times New Roman" w:cs="Times New Roman"/>
          <w:sz w:val="28"/>
          <w:szCs w:val="28"/>
        </w:rPr>
        <w:t>Галданова</w:t>
      </w:r>
      <w:proofErr w:type="spellEnd"/>
      <w:r w:rsidRPr="00B34CF8">
        <w:rPr>
          <w:rFonts w:ascii="Times New Roman" w:hAnsi="Times New Roman" w:cs="Times New Roman"/>
          <w:sz w:val="28"/>
          <w:szCs w:val="28"/>
        </w:rPr>
        <w:t xml:space="preserve"> С.Ч.</w:t>
      </w:r>
      <w:r w:rsid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–заместитель руководителя Управления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по Республике Бурятия; Пивоварова А.Д.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–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генеральный директор ООО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«Кадастр-</w:t>
      </w:r>
      <w:proofErr w:type="spellStart"/>
      <w:r w:rsidRPr="00B34CF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B34CF8">
        <w:rPr>
          <w:rFonts w:ascii="Times New Roman" w:hAnsi="Times New Roman" w:cs="Times New Roman"/>
          <w:sz w:val="28"/>
          <w:szCs w:val="28"/>
        </w:rPr>
        <w:t>», эксперт Агентства стратегических инициатив, член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Общественного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совета Управления Федеральной службы государственной регистрации, кадастра и картографии по Республике Бурятия, член Филиала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СРО Ассоциация «Кадастровые инженеры</w:t>
      </w:r>
      <w:r w:rsidR="00810597" w:rsidRPr="00B34CF8">
        <w:rPr>
          <w:rFonts w:ascii="Times New Roman" w:hAnsi="Times New Roman" w:cs="Times New Roman"/>
          <w:sz w:val="28"/>
          <w:szCs w:val="28"/>
        </w:rPr>
        <w:t xml:space="preserve"> </w:t>
      </w:r>
      <w:r w:rsidRPr="00B34CF8">
        <w:rPr>
          <w:rFonts w:ascii="Times New Roman" w:hAnsi="Times New Roman" w:cs="Times New Roman"/>
          <w:sz w:val="28"/>
          <w:szCs w:val="28"/>
        </w:rPr>
        <w:t>регионов» по Республике Бурятия.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A73">
        <w:rPr>
          <w:rFonts w:ascii="Times New Roman" w:hAnsi="Times New Roman" w:cs="Times New Roman"/>
          <w:i/>
          <w:sz w:val="28"/>
          <w:szCs w:val="28"/>
        </w:rPr>
        <w:lastRenderedPageBreak/>
        <w:t>Учебно-методическое и информационное обеспечение</w:t>
      </w:r>
    </w:p>
    <w:p w:rsidR="005D4EF8" w:rsidRPr="005D4EF8" w:rsidRDefault="005D4EF8" w:rsidP="005D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EF8">
        <w:rPr>
          <w:rFonts w:ascii="Times New Roman" w:hAnsi="Times New Roman" w:cs="Times New Roman"/>
          <w:sz w:val="28"/>
          <w:szCs w:val="28"/>
        </w:rPr>
        <w:t xml:space="preserve">Основным подразделением, обеспечивающим учебный процесс учебными и учебно- методическими материалами, является научная библиотека БГСХА. В структуре библиотеки функционирует 1 абонемент, 2 читальных зала на 168 посадочных мест и комфортной зоной отдыха, электронный читальный зал, 4 функциональных отдела. Площадь библиотеки составляет 1751 </w:t>
      </w:r>
      <w:r w:rsidRPr="005D4EF8">
        <w:rPr>
          <w:rFonts w:ascii="Times New Roman" w:hAnsi="Times New Roman" w:cs="Times New Roman"/>
          <w:sz w:val="28"/>
          <w:szCs w:val="28"/>
        </w:rPr>
        <w:t>кв. м</w:t>
      </w:r>
      <w:r w:rsidRPr="005D4EF8">
        <w:rPr>
          <w:rFonts w:ascii="Times New Roman" w:hAnsi="Times New Roman" w:cs="Times New Roman"/>
          <w:sz w:val="28"/>
          <w:szCs w:val="28"/>
        </w:rPr>
        <w:t>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Библиотека работает в системе автоматизации библиотек ИРБИС 64+,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которая обеспечивает комплексную автоматизацию всех библиотечных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процессов: комплектование, каталогизацию, учет и контроль, статистику,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A73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A83A73">
        <w:rPr>
          <w:rFonts w:ascii="Times New Roman" w:hAnsi="Times New Roman" w:cs="Times New Roman"/>
          <w:sz w:val="28"/>
          <w:szCs w:val="28"/>
        </w:rPr>
        <w:t xml:space="preserve"> и электронная книговыдача.</w:t>
      </w:r>
    </w:p>
    <w:p w:rsidR="00A83A73" w:rsidRPr="00A83A73" w:rsidRDefault="00A83A73" w:rsidP="00A8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73">
        <w:rPr>
          <w:rFonts w:ascii="Times New Roman" w:hAnsi="Times New Roman" w:cs="Times New Roman"/>
          <w:sz w:val="28"/>
          <w:szCs w:val="28"/>
        </w:rPr>
        <w:t>Библиотечный фонд формируется в соответствии с требованиями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стандартов.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Комплектование фонда библиотеки осуществляется в соответствии с СТОСМК 7.1.3–9.0–2019 «Инфраструктура. Управление информационными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>ресурсами библиотеки», тематическим планом комплектования и данными</w:t>
      </w:r>
      <w:r w:rsidR="0016406E">
        <w:rPr>
          <w:rFonts w:ascii="Times New Roman" w:hAnsi="Times New Roman" w:cs="Times New Roman"/>
          <w:sz w:val="28"/>
          <w:szCs w:val="28"/>
        </w:rPr>
        <w:t xml:space="preserve"> </w:t>
      </w:r>
      <w:r w:rsidRPr="00A83A73">
        <w:rPr>
          <w:rFonts w:ascii="Times New Roman" w:hAnsi="Times New Roman" w:cs="Times New Roman"/>
          <w:sz w:val="28"/>
          <w:szCs w:val="28"/>
        </w:rPr>
        <w:t xml:space="preserve">картотеки </w:t>
      </w:r>
      <w:proofErr w:type="spellStart"/>
      <w:r w:rsidRPr="00A83A73">
        <w:rPr>
          <w:rFonts w:ascii="Times New Roman" w:hAnsi="Times New Roman" w:cs="Times New Roman"/>
          <w:sz w:val="28"/>
          <w:szCs w:val="28"/>
        </w:rPr>
        <w:t>книгообеспеченности</w:t>
      </w:r>
      <w:proofErr w:type="spellEnd"/>
      <w:r w:rsidRPr="00A83A73">
        <w:rPr>
          <w:rFonts w:ascii="Times New Roman" w:hAnsi="Times New Roman" w:cs="Times New Roman"/>
          <w:sz w:val="28"/>
          <w:szCs w:val="28"/>
        </w:rPr>
        <w:t xml:space="preserve"> учебного процесса.</w:t>
      </w:r>
    </w:p>
    <w:p w:rsidR="00740A74" w:rsidRPr="00BB5A1E" w:rsidRDefault="00740A74" w:rsidP="00BB5A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1E">
        <w:rPr>
          <w:rFonts w:ascii="Times New Roman" w:hAnsi="Times New Roman" w:cs="Times New Roman"/>
          <w:sz w:val="28"/>
          <w:szCs w:val="28"/>
        </w:rPr>
        <w:t>Библиотечный фонд составляет 599</w:t>
      </w:r>
      <w:r w:rsidR="00AD035E">
        <w:rPr>
          <w:rFonts w:ascii="Times New Roman" w:hAnsi="Times New Roman" w:cs="Times New Roman"/>
          <w:sz w:val="28"/>
          <w:szCs w:val="28"/>
        </w:rPr>
        <w:t xml:space="preserve"> </w:t>
      </w:r>
      <w:r w:rsidRPr="00BB5A1E">
        <w:rPr>
          <w:rFonts w:ascii="Times New Roman" w:hAnsi="Times New Roman" w:cs="Times New Roman"/>
          <w:sz w:val="28"/>
          <w:szCs w:val="28"/>
        </w:rPr>
        <w:t>260</w:t>
      </w:r>
      <w:r w:rsidRPr="00BB5A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A1E">
        <w:rPr>
          <w:rFonts w:ascii="Times New Roman" w:hAnsi="Times New Roman" w:cs="Times New Roman"/>
          <w:sz w:val="28"/>
          <w:szCs w:val="28"/>
        </w:rPr>
        <w:t>единиц хранения на физических носителях, в т.</w:t>
      </w:r>
      <w:r w:rsidR="00AD035E">
        <w:rPr>
          <w:rFonts w:ascii="Times New Roman" w:hAnsi="Times New Roman" w:cs="Times New Roman"/>
          <w:sz w:val="28"/>
          <w:szCs w:val="28"/>
        </w:rPr>
        <w:t xml:space="preserve"> </w:t>
      </w:r>
      <w:r w:rsidRPr="00BB5A1E">
        <w:rPr>
          <w:rFonts w:ascii="Times New Roman" w:hAnsi="Times New Roman" w:cs="Times New Roman"/>
          <w:sz w:val="28"/>
          <w:szCs w:val="28"/>
        </w:rPr>
        <w:t>ч. 185 608 экз. учебно-методической и 378</w:t>
      </w:r>
      <w:r w:rsidR="00AD035E">
        <w:rPr>
          <w:rFonts w:ascii="Times New Roman" w:hAnsi="Times New Roman" w:cs="Times New Roman"/>
          <w:sz w:val="28"/>
          <w:szCs w:val="28"/>
        </w:rPr>
        <w:t xml:space="preserve"> </w:t>
      </w:r>
      <w:r w:rsidRPr="00BB5A1E">
        <w:rPr>
          <w:rFonts w:ascii="Times New Roman" w:hAnsi="Times New Roman" w:cs="Times New Roman"/>
          <w:sz w:val="28"/>
          <w:szCs w:val="28"/>
        </w:rPr>
        <w:t>623 экз. научной литературы. В 2026 году поступило 1591 экз. печатных изданий.</w:t>
      </w:r>
    </w:p>
    <w:p w:rsidR="00740A74" w:rsidRPr="00BB5A1E" w:rsidRDefault="00740A74" w:rsidP="00BB5A1E">
      <w:pPr>
        <w:pStyle w:val="a3"/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1E">
        <w:rPr>
          <w:rFonts w:ascii="Times New Roman" w:hAnsi="Times New Roman" w:cs="Times New Roman"/>
          <w:sz w:val="28"/>
          <w:szCs w:val="28"/>
        </w:rPr>
        <w:t xml:space="preserve">Электронные ресурсы библиотеки академии представлены внутренними и внешними полнотекстовыми, библиографическими базами данных, электронными библиотеками, электронно-библиотечным системами (далее ЭБС) и </w:t>
      </w:r>
      <w:hyperlink r:id="rId5" w:history="1">
        <w:r w:rsidRPr="00BB5A1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профессиональными базами данных</w:t>
        </w:r>
      </w:hyperlink>
      <w:r w:rsidRPr="00BB5A1E">
        <w:rPr>
          <w:rFonts w:ascii="Times New Roman" w:hAnsi="Times New Roman" w:cs="Times New Roman"/>
          <w:sz w:val="28"/>
          <w:szCs w:val="28"/>
        </w:rPr>
        <w:t xml:space="preserve">.  Преподавателям и обучающимся предоставляется полнотекстовый доступ к ЭБС, ресурсы которой соответствуют реализуемым академией ОПОП. </w:t>
      </w:r>
    </w:p>
    <w:p w:rsidR="00740A74" w:rsidRPr="00BB5A1E" w:rsidRDefault="00740A74" w:rsidP="00BB5A1E">
      <w:pPr>
        <w:pStyle w:val="a3"/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1E">
        <w:rPr>
          <w:rFonts w:ascii="Times New Roman" w:hAnsi="Times New Roman" w:cs="Times New Roman"/>
          <w:sz w:val="28"/>
          <w:szCs w:val="28"/>
        </w:rPr>
        <w:t xml:space="preserve">В 2025 г. были заключены лицензионные договора с ЭБС Издательства </w:t>
      </w:r>
      <w:hyperlink r:id="rId6" w:history="1">
        <w:r w:rsidRPr="00BB5A1E">
          <w:rPr>
            <w:rFonts w:ascii="Times New Roman" w:hAnsi="Times New Roman" w:cs="Times New Roman"/>
            <w:sz w:val="28"/>
            <w:szCs w:val="28"/>
          </w:rPr>
          <w:t>«Лань»</w:t>
        </w:r>
      </w:hyperlink>
      <w:r w:rsidRPr="00BB5A1E">
        <w:rPr>
          <w:rFonts w:ascii="Times New Roman" w:hAnsi="Times New Roman" w:cs="Times New Roman"/>
          <w:sz w:val="28"/>
          <w:szCs w:val="28"/>
        </w:rPr>
        <w:t xml:space="preserve"> (Лицензионный договор №57/2030 на предоставление права использования права программного обеспечения от 03.07.2025), ЭБС Издательства «Инфра-М» </w:t>
      </w:r>
      <w:hyperlink r:id="rId7" w:history="1">
        <w:r w:rsidRPr="00BB5A1E">
          <w:rPr>
            <w:rFonts w:ascii="Times New Roman" w:hAnsi="Times New Roman" w:cs="Times New Roman"/>
            <w:sz w:val="28"/>
            <w:szCs w:val="28"/>
          </w:rPr>
          <w:t>ZNANIUM.com</w:t>
        </w:r>
      </w:hyperlink>
      <w:r w:rsidRPr="00BB5A1E">
        <w:rPr>
          <w:rFonts w:ascii="Times New Roman" w:hAnsi="Times New Roman" w:cs="Times New Roman"/>
          <w:sz w:val="28"/>
          <w:szCs w:val="28"/>
        </w:rPr>
        <w:t xml:space="preserve"> (Лицензионный договор № 11078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lastRenderedPageBreak/>
        <w:t>эбс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от 19.12.2024), ЭБС Издательства </w:t>
      </w:r>
      <w:hyperlink r:id="rId8" w:history="1">
        <w:r w:rsidRPr="00BB5A1E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BB5A1E">
          <w:rPr>
            <w:rFonts w:ascii="Times New Roman" w:hAnsi="Times New Roman" w:cs="Times New Roman"/>
            <w:sz w:val="28"/>
            <w:szCs w:val="28"/>
          </w:rPr>
          <w:t>Юрайт</w:t>
        </w:r>
        <w:proofErr w:type="spellEnd"/>
        <w:r w:rsidRPr="00BB5A1E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B5A1E">
        <w:rPr>
          <w:rFonts w:ascii="Times New Roman" w:hAnsi="Times New Roman" w:cs="Times New Roman"/>
          <w:sz w:val="28"/>
          <w:szCs w:val="28"/>
        </w:rPr>
        <w:t xml:space="preserve"> коллекция «Легендарные книги» (Информационное письмо-подтверждение о бессрочном неограниченном доступе ФГБОУ ВО БГСХА к коллекции «Легендарные книги» образовательной платформы «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>» от 12.03.2021) и ЭБС IPR SMART (Соглашение №9694/22 на предоставление доступа к произведениям научно-образовательной платформы IPR SMART от 21.10.2022). Кроме того, Академия является участником Сетевой электронной библиотеки аграрных вузов и вузов России (Договор № НВ-190 СЭБ на оказание услуг от 26.02.2020).</w:t>
      </w:r>
    </w:p>
    <w:p w:rsidR="00740A74" w:rsidRPr="00BB5A1E" w:rsidRDefault="00740A74" w:rsidP="00BB5A1E">
      <w:pPr>
        <w:pStyle w:val="a3"/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A1E">
        <w:rPr>
          <w:rFonts w:ascii="Times New Roman" w:hAnsi="Times New Roman" w:cs="Times New Roman"/>
          <w:sz w:val="28"/>
          <w:szCs w:val="28"/>
        </w:rPr>
        <w:t xml:space="preserve">В 2025 году, в рамках национальной и централизованной подписки через РФФИ, осуществлялся доступ на научные информационные ресурсы: полнотекстовая коллекция журналов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Journals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Database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, база данных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Orbit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Premium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, полнотекстовая коллекция журналов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и базы данных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A1E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BB5A1E">
        <w:rPr>
          <w:rFonts w:ascii="Times New Roman" w:hAnsi="Times New Roman" w:cs="Times New Roman"/>
          <w:sz w:val="28"/>
          <w:szCs w:val="28"/>
        </w:rPr>
        <w:t>, электронные версии журналов МИАН, РАН, интеллектуальная аналитическая платформа INVENTORUS с ИИ-ассистентом «Никола» (см. в таб</w:t>
      </w:r>
      <w:r w:rsidR="005A1A54">
        <w:rPr>
          <w:rFonts w:ascii="Times New Roman" w:hAnsi="Times New Roman" w:cs="Times New Roman"/>
          <w:sz w:val="28"/>
          <w:szCs w:val="28"/>
        </w:rPr>
        <w:t>л</w:t>
      </w:r>
      <w:r w:rsidRPr="00BB5A1E">
        <w:rPr>
          <w:rFonts w:ascii="Times New Roman" w:hAnsi="Times New Roman" w:cs="Times New Roman"/>
          <w:sz w:val="28"/>
          <w:szCs w:val="28"/>
        </w:rPr>
        <w:t>. 1).</w:t>
      </w:r>
    </w:p>
    <w:p w:rsidR="00740A74" w:rsidRPr="00AD035E" w:rsidRDefault="00740A74" w:rsidP="00AD035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Централизованная подписка БГСХА на научно- информационные ресурсы в 2025г.</w:t>
      </w:r>
    </w:p>
    <w:tbl>
      <w:tblPr>
        <w:tblStyle w:val="-11"/>
        <w:tblW w:w="9490" w:type="dxa"/>
        <w:tblLayout w:type="fixed"/>
        <w:tblLook w:val="04A0" w:firstRow="1" w:lastRow="0" w:firstColumn="1" w:lastColumn="0" w:noHBand="0" w:noVBand="1"/>
      </w:tblPr>
      <w:tblGrid>
        <w:gridCol w:w="2030"/>
        <w:gridCol w:w="3208"/>
        <w:gridCol w:w="2834"/>
        <w:gridCol w:w="1418"/>
      </w:tblGrid>
      <w:tr w:rsidR="00740A74" w:rsidRPr="00F50C1F" w:rsidTr="00DF0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Align w:val="center"/>
          </w:tcPr>
          <w:p w:rsidR="00740A74" w:rsidRPr="00F50C1F" w:rsidRDefault="00740A74" w:rsidP="00DF075E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color w:val="000000"/>
                <w:sz w:val="24"/>
                <w:szCs w:val="24"/>
              </w:rPr>
              <w:t>Название издателя</w:t>
            </w:r>
          </w:p>
        </w:tc>
        <w:tc>
          <w:tcPr>
            <w:tcW w:w="3208" w:type="dxa"/>
            <w:vAlign w:val="center"/>
          </w:tcPr>
          <w:p w:rsidR="00740A74" w:rsidRPr="00F50C1F" w:rsidRDefault="00740A74" w:rsidP="00DF075E">
            <w:pPr>
              <w:ind w:hanging="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color w:val="000000"/>
                <w:sz w:val="24"/>
                <w:szCs w:val="24"/>
              </w:rPr>
              <w:t>Название ресурса</w:t>
            </w:r>
          </w:p>
        </w:tc>
        <w:tc>
          <w:tcPr>
            <w:tcW w:w="2834" w:type="dxa"/>
            <w:vAlign w:val="center"/>
          </w:tcPr>
          <w:p w:rsidR="00740A74" w:rsidRPr="00F50C1F" w:rsidRDefault="00740A74" w:rsidP="00DF0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color w:val="000000"/>
                <w:sz w:val="24"/>
                <w:szCs w:val="24"/>
              </w:rPr>
              <w:t>Подробная информация</w:t>
            </w:r>
          </w:p>
        </w:tc>
        <w:tc>
          <w:tcPr>
            <w:tcW w:w="1418" w:type="dxa"/>
            <w:vAlign w:val="center"/>
          </w:tcPr>
          <w:p w:rsidR="00740A74" w:rsidRPr="00F50C1F" w:rsidRDefault="00740A74" w:rsidP="00DF0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color w:val="000000"/>
                <w:sz w:val="24"/>
                <w:szCs w:val="24"/>
              </w:rPr>
              <w:t>Доступ активен до</w:t>
            </w:r>
          </w:p>
        </w:tc>
      </w:tr>
      <w:tr w:rsidR="00740A74" w:rsidRPr="00F50C1F" w:rsidTr="00DF075E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eastAsia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John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Wiley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&amp;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Sons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Inc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Полнотекстовая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коллекция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журналов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Wiley Journals Database Science, </w:t>
            </w:r>
            <w:proofErr w:type="spellStart"/>
            <w:r w:rsidRPr="00F50C1F">
              <w:rPr>
                <w:rFonts w:cs="Times New Roman"/>
                <w:sz w:val="24"/>
                <w:szCs w:val="24"/>
                <w:lang w:val="en-US"/>
              </w:rPr>
              <w:t>Technology&amp;Medicine</w:t>
            </w:r>
            <w:proofErr w:type="spellEnd"/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Journals Collections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9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John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Wiley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&amp;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Sons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Inc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Полнотекстовая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коллекция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журналов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Wiley Journals Database Social </w:t>
            </w:r>
            <w:proofErr w:type="spellStart"/>
            <w:r w:rsidRPr="00F50C1F">
              <w:rPr>
                <w:rFonts w:cs="Times New Roman"/>
                <w:sz w:val="24"/>
                <w:szCs w:val="24"/>
                <w:lang w:val="en-US"/>
              </w:rPr>
              <w:t>Science&amp;Humanites</w:t>
            </w:r>
            <w:proofErr w:type="spellEnd"/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Journals Collections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10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2025-06-30</w:t>
            </w:r>
          </w:p>
        </w:tc>
      </w:tr>
      <w:tr w:rsidR="00740A74" w:rsidRPr="00F50C1F" w:rsidTr="00DF075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John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Wiley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&amp;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Sons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Inc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Полнотекстовая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коллекция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журналов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Wiley Journals Database Science, </w:t>
            </w:r>
            <w:proofErr w:type="spellStart"/>
            <w:r w:rsidRPr="00F50C1F">
              <w:rPr>
                <w:rFonts w:cs="Times New Roman"/>
                <w:sz w:val="24"/>
                <w:szCs w:val="24"/>
                <w:lang w:val="en-US"/>
              </w:rPr>
              <w:t>Technology&amp;Medicine</w:t>
            </w:r>
            <w:proofErr w:type="spellEnd"/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Journals Collections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11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2025-06-30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lastRenderedPageBreak/>
              <w:t>John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Wiley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&amp;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Sons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Inc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Полнотекстовая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коллекция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журналов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Wiley Journals Database Social </w:t>
            </w:r>
            <w:proofErr w:type="spellStart"/>
            <w:r w:rsidRPr="00F50C1F">
              <w:rPr>
                <w:rFonts w:cs="Times New Roman"/>
                <w:sz w:val="24"/>
                <w:szCs w:val="24"/>
                <w:lang w:val="en-US"/>
              </w:rPr>
              <w:t>Science&amp;Humanites</w:t>
            </w:r>
            <w:proofErr w:type="spellEnd"/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Journals Collections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12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Questel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SAS</w:t>
            </w:r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База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данных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Orbit Premium edition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13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2025-06-30</w:t>
            </w:r>
          </w:p>
        </w:tc>
      </w:tr>
      <w:tr w:rsidR="00740A74" w:rsidRPr="00F50C1F" w:rsidTr="00DF075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 xml:space="preserve">Полнотекстовые коллекции журналов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Academic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Полнотекстовые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коллекции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журналов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Springer Journals, Scientific American, Palgrave Macmillan Journals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hyperlink r:id="rId15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 xml:space="preserve">Полнотекстовые коллекции журналов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hideMark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  <w:hideMark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50C1F">
              <w:rPr>
                <w:rFonts w:cs="Times New Roman"/>
                <w:sz w:val="24"/>
                <w:szCs w:val="24"/>
              </w:rPr>
              <w:t>Базы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50C1F">
              <w:rPr>
                <w:rFonts w:cs="Times New Roman"/>
                <w:sz w:val="24"/>
                <w:szCs w:val="24"/>
              </w:rPr>
              <w:t>данных</w:t>
            </w:r>
            <w:r w:rsidRPr="00F50C1F">
              <w:rPr>
                <w:rFonts w:cs="Times New Roman"/>
                <w:sz w:val="24"/>
                <w:szCs w:val="24"/>
                <w:lang w:val="en-US"/>
              </w:rPr>
              <w:t xml:space="preserve"> Springer Materials, Springer Nature Experiments</w:t>
            </w:r>
          </w:p>
        </w:tc>
        <w:tc>
          <w:tcPr>
            <w:tcW w:w="2834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hyperlink r:id="rId17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  <w:hideMark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2025-12-31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 xml:space="preserve">Полнотекстовые коллекции журналов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Adis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Nature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2834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hyperlink r:id="rId18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Nature</w:t>
            </w:r>
            <w:proofErr w:type="spellEnd"/>
          </w:p>
        </w:tc>
        <w:tc>
          <w:tcPr>
            <w:tcW w:w="3208" w:type="dxa"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 xml:space="preserve">Полнотекстовые коллекции журналов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Springer</w:t>
            </w:r>
            <w:proofErr w:type="spellEnd"/>
            <w:r w:rsidRPr="00F50C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50C1F">
              <w:rPr>
                <w:rFonts w:cs="Times New Roman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2834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hyperlink r:id="rId19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sz w:val="24"/>
                <w:szCs w:val="24"/>
              </w:rPr>
              <w:t>Математический институт им. В.А. Стеклова Российской академии наук</w:t>
            </w:r>
          </w:p>
        </w:tc>
        <w:tc>
          <w:tcPr>
            <w:tcW w:w="3208" w:type="dxa"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>Электронные версии журналов МИАН</w:t>
            </w:r>
          </w:p>
        </w:tc>
        <w:tc>
          <w:tcPr>
            <w:tcW w:w="2834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hyperlink r:id="rId20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https://podpiska.rcsi.science/news/990/</w:t>
              </w:r>
            </w:hyperlink>
          </w:p>
        </w:tc>
        <w:tc>
          <w:tcPr>
            <w:tcW w:w="1418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2050-12-31</w:t>
            </w:r>
          </w:p>
        </w:tc>
      </w:tr>
      <w:tr w:rsidR="00740A74" w:rsidRPr="00F50C1F" w:rsidTr="00DF075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740A74" w:rsidRPr="00F50C1F" w:rsidRDefault="00740A74" w:rsidP="00DF075E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b w:val="0"/>
                <w:sz w:val="24"/>
                <w:szCs w:val="24"/>
              </w:rPr>
              <w:t>ООО «</w:t>
            </w:r>
            <w:proofErr w:type="spellStart"/>
            <w:r w:rsidRPr="00F50C1F">
              <w:rPr>
                <w:rFonts w:cs="Times New Roman"/>
                <w:b w:val="0"/>
                <w:sz w:val="24"/>
                <w:szCs w:val="24"/>
              </w:rPr>
              <w:t>Инвенторус</w:t>
            </w:r>
            <w:proofErr w:type="spellEnd"/>
            <w:r w:rsidRPr="00F50C1F"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3208" w:type="dxa"/>
          </w:tcPr>
          <w:p w:rsidR="00740A74" w:rsidRPr="00F50C1F" w:rsidRDefault="00740A74" w:rsidP="00DF075E">
            <w:pPr>
              <w:ind w:hanging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0C1F">
              <w:rPr>
                <w:rFonts w:cs="Times New Roman"/>
                <w:sz w:val="24"/>
                <w:szCs w:val="24"/>
              </w:rPr>
              <w:t>Интеллектуальная аналитическая платформа INVENTORUS</w:t>
            </w:r>
          </w:p>
        </w:tc>
        <w:tc>
          <w:tcPr>
            <w:tcW w:w="2834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hyperlink r:id="rId21" w:tgtFrame="_blank" w:history="1">
              <w:r w:rsidRPr="00F50C1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https://podpiska.rcsi.science/news/1061/</w:t>
              </w:r>
            </w:hyperlink>
          </w:p>
        </w:tc>
        <w:tc>
          <w:tcPr>
            <w:tcW w:w="1418" w:type="dxa"/>
          </w:tcPr>
          <w:p w:rsidR="00740A74" w:rsidRPr="00F50C1F" w:rsidRDefault="00740A74" w:rsidP="00DF0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F50C1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2025-12-31</w:t>
            </w:r>
          </w:p>
        </w:tc>
      </w:tr>
    </w:tbl>
    <w:p w:rsidR="00740A74" w:rsidRPr="004E031C" w:rsidRDefault="00740A74" w:rsidP="00740A74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0A74" w:rsidRPr="00ED1A31" w:rsidRDefault="00740A74" w:rsidP="00240769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Через терминалы удаленного доступа, установленных на территории Научной библиотеки, осуществляется доступ к Национальной электронной библиотеке (НЭБ) (Договор № 101/НЭБ/2590 о подключении к НЭБ и о предоставлении доступа к объектам НЭБ от 01.12.2017.). </w:t>
      </w:r>
    </w:p>
    <w:p w:rsidR="00740A74" w:rsidRPr="00ED1A31" w:rsidRDefault="00740A74" w:rsidP="00240769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Общее количество электронных документов, полученных в 2025 г. библиотекой на условиях соглашений с поставщиками информации, вместе с ресурсами НЭБ составило 2 471 404 ед. </w:t>
      </w:r>
    </w:p>
    <w:p w:rsidR="00740A74" w:rsidRPr="00ED1A31" w:rsidRDefault="00740A74" w:rsidP="00240769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Дополнительно пользователям библиотеки академии предоставлялся доступ к Системе Гарант, в </w:t>
      </w:r>
      <w:proofErr w:type="spellStart"/>
      <w:r w:rsidRPr="00ED1A3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D1A31">
        <w:rPr>
          <w:rFonts w:ascii="Times New Roman" w:hAnsi="Times New Roman" w:cs="Times New Roman"/>
          <w:sz w:val="28"/>
          <w:szCs w:val="28"/>
        </w:rPr>
        <w:t>. к правовому ИИ-ассистенту ИСКРА, к информационным справочникам нормативных, научно-практических материалов для организаций ВО и СПО система «</w:t>
      </w:r>
      <w:proofErr w:type="spellStart"/>
      <w:r w:rsidRPr="00ED1A31">
        <w:rPr>
          <w:rFonts w:ascii="Times New Roman" w:hAnsi="Times New Roman" w:cs="Times New Roman"/>
          <w:sz w:val="28"/>
          <w:szCs w:val="28"/>
        </w:rPr>
        <w:t>Информио</w:t>
      </w:r>
      <w:proofErr w:type="spellEnd"/>
      <w:r w:rsidRPr="00ED1A31">
        <w:rPr>
          <w:rFonts w:ascii="Times New Roman" w:hAnsi="Times New Roman" w:cs="Times New Roman"/>
          <w:sz w:val="28"/>
          <w:szCs w:val="28"/>
        </w:rPr>
        <w:t xml:space="preserve">» (Договор </w:t>
      </w:r>
      <w:r w:rsidRPr="00ED1A31">
        <w:rPr>
          <w:rFonts w:ascii="Times New Roman" w:hAnsi="Times New Roman" w:cs="Times New Roman"/>
          <w:sz w:val="28"/>
          <w:szCs w:val="28"/>
        </w:rPr>
        <w:lastRenderedPageBreak/>
        <w:t>оказания справочно-информационных услуг № АК 5854 (ВО+СПО) от 11.12.2025), базе данных «</w:t>
      </w:r>
      <w:proofErr w:type="spellStart"/>
      <w:r w:rsidRPr="00ED1A31">
        <w:rPr>
          <w:rFonts w:ascii="Times New Roman" w:hAnsi="Times New Roman" w:cs="Times New Roman"/>
          <w:sz w:val="28"/>
          <w:szCs w:val="28"/>
        </w:rPr>
        <w:t>Росметод</w:t>
      </w:r>
      <w:proofErr w:type="spellEnd"/>
      <w:r w:rsidRPr="00ED1A31">
        <w:rPr>
          <w:rFonts w:ascii="Times New Roman" w:hAnsi="Times New Roman" w:cs="Times New Roman"/>
          <w:sz w:val="28"/>
          <w:szCs w:val="28"/>
        </w:rPr>
        <w:t>» (Договор на оказание услуг по подключению и обеспечению доступа к базе данных №784/2025 от 16.12.2025).</w:t>
      </w:r>
    </w:p>
    <w:p w:rsidR="00740A74" w:rsidRPr="00ED1A31" w:rsidRDefault="00740A74" w:rsidP="00240769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Объем электронного фонда собственной генерации насчитывает 13737 наименований, в отчетный период загружено 2055 документа. Доступ ко всем ресурсам предоставляется через авторизацию в Личном кабинете БГСХА с возможностью бесшовного перехода в аккаунт библиотечного портала и лицензионные внешние ресурсы. </w:t>
      </w:r>
    </w:p>
    <w:p w:rsidR="00ED1A31" w:rsidRPr="00ED1A31" w:rsidRDefault="00ED1A31" w:rsidP="00ED1A31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>Все вышеперечисленные электронные ресурсы библиотеки интегрированы в электронную информационно-образовательную среду академии путем создания специальных разделов, бесшовных переходов, интерактивных электронных форм. В Личном кабинете БГСХА установлены плагины интеграции со всеми лицензионными ЭБС.</w:t>
      </w:r>
    </w:p>
    <w:p w:rsidR="00ED1A31" w:rsidRPr="00ED1A31" w:rsidRDefault="00ED1A31" w:rsidP="00ED1A31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Таким образом, библиотечный фонд укомплектован печатными и электронными изданиями (включая учебники и учебные пособия), методическими и </w:t>
      </w:r>
      <w:hyperlink r:id="rId22" w:history="1">
        <w:r w:rsidRPr="00ED1A31">
          <w:rPr>
            <w:rFonts w:ascii="Times New Roman" w:hAnsi="Times New Roman" w:cs="Times New Roman"/>
            <w:sz w:val="28"/>
            <w:szCs w:val="28"/>
          </w:rPr>
          <w:t>периодическими изданиями</w:t>
        </w:r>
      </w:hyperlink>
      <w:r w:rsidRPr="00ED1A31">
        <w:rPr>
          <w:rFonts w:ascii="Times New Roman" w:hAnsi="Times New Roman" w:cs="Times New Roman"/>
          <w:sz w:val="28"/>
          <w:szCs w:val="28"/>
        </w:rPr>
        <w:t xml:space="preserve"> по учебным предметам, курсам, дисциплинам (модулям), входящим в реализуемую основную образовательную программу.</w:t>
      </w:r>
    </w:p>
    <w:p w:rsidR="00ED1A31" w:rsidRPr="00ED1A31" w:rsidRDefault="00ED1A31" w:rsidP="00ED1A31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>Обязательная литература, рекомендованная в качестве основной по циклам дисциплин, представлена в Библиотеке в полном объеме, соответствует требованиям ФГОС. В библиотечном фонде имеется в наличии и используется в учебном процессе достаточное количество изданий, рекомендуемых в качестве дополнительной литературы.</w:t>
      </w:r>
    </w:p>
    <w:p w:rsidR="00ED1A31" w:rsidRPr="00ED1A31" w:rsidRDefault="00ED1A31" w:rsidP="00ED1A31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t xml:space="preserve">Значительная часть учебной, учебно-методической и др. видов литературы представлена в электронном формате, входит в состав электронно-библиотечных систем, других электронных ресурсов, ссылки на которые доступны с </w:t>
      </w:r>
      <w:hyperlink r:id="rId23" w:history="1">
        <w:r w:rsidRPr="00ED1A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сайта (портала) Научной библиотеки БГСХА</w:t>
        </w:r>
      </w:hyperlink>
      <w:r w:rsidRPr="00ED1A31">
        <w:rPr>
          <w:rFonts w:ascii="Times New Roman" w:hAnsi="Times New Roman" w:cs="Times New Roman"/>
          <w:sz w:val="28"/>
          <w:szCs w:val="28"/>
        </w:rPr>
        <w:t xml:space="preserve"> и электронной информационно-образовательной среды.</w:t>
      </w:r>
    </w:p>
    <w:p w:rsidR="00ED1A31" w:rsidRPr="00ED1A31" w:rsidRDefault="00ED1A31" w:rsidP="00ED1A31">
      <w:pPr>
        <w:pStyle w:val="a3"/>
        <w:shd w:val="clear" w:color="auto" w:fill="FFFFFF"/>
        <w:suppressAutoHyphens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D1A31">
        <w:rPr>
          <w:rFonts w:ascii="Times New Roman" w:hAnsi="Times New Roman" w:cs="Times New Roman"/>
          <w:sz w:val="28"/>
          <w:szCs w:val="28"/>
        </w:rPr>
        <w:lastRenderedPageBreak/>
        <w:t>Каждый обучающийся Академии в течение всего периода обучения, в том числе в дистанционном режиме, обеспечен доступом к электронно-библиотечным системам (электронным библиотекам), содержащим издания по изучаемым в Академии дисциплинам, и сформированным на основании прямых договоров с правообладателями. Для обучающихся обеспечена возможность индивидуального неограниченного доступа к содержимому электронно-библиотечных систем из любой точки, в которой имеется доступ к сети Интернет, как на территории Академии, так и вне ее.</w:t>
      </w:r>
    </w:p>
    <w:p w:rsidR="005B3A36" w:rsidRPr="005B3A36" w:rsidRDefault="005B3A36" w:rsidP="005B3A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A36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>Бурятская ГСХА им. В.Р. Филиппова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предусмотренной учебным планом и соответствующей действующим санитарным и противопожарным правилам и нормам.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Перечень материально-технического обеспечения включает в себя учебные аудитории 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 учебно-рекреационную базу  «Колос», </w:t>
      </w:r>
      <w:proofErr w:type="spellStart"/>
      <w:r w:rsidRPr="006D6591">
        <w:rPr>
          <w:rFonts w:ascii="Times New Roman" w:eastAsia="Times New Roman" w:hAnsi="Times New Roman" w:cs="Times New Roman"/>
          <w:sz w:val="28"/>
          <w:szCs w:val="28"/>
        </w:rPr>
        <w:t>геокамеру</w:t>
      </w:r>
      <w:proofErr w:type="spellEnd"/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, оснащенную следующими геодезическими приборами: спутниковая система GPS; электронные теодолиты </w:t>
      </w:r>
      <w:proofErr w:type="spellStart"/>
      <w:r w:rsidRPr="006D6591">
        <w:rPr>
          <w:rFonts w:ascii="Times New Roman" w:eastAsia="Times New Roman" w:hAnsi="Times New Roman" w:cs="Times New Roman"/>
          <w:sz w:val="28"/>
          <w:szCs w:val="28"/>
        </w:rPr>
        <w:t>Vega</w:t>
      </w:r>
      <w:proofErr w:type="spellEnd"/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591">
        <w:rPr>
          <w:rFonts w:ascii="Times New Roman" w:eastAsia="Times New Roman" w:hAnsi="Times New Roman" w:cs="Times New Roman"/>
          <w:sz w:val="28"/>
          <w:szCs w:val="28"/>
        </w:rPr>
        <w:t>Teo</w:t>
      </w:r>
      <w:proofErr w:type="spellEnd"/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 20B; электронные тахеометры; оптические, цифровые, лазерные нивелиры; лазерные дальномеры и т.д. Для проведения занятий лекционного типа в аудиториях имеются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 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</w:t>
      </w:r>
      <w:r w:rsidRPr="006D6591">
        <w:rPr>
          <w:rFonts w:ascii="Times New Roman" w:eastAsia="Times New Roman" w:hAnsi="Times New Roman" w:cs="Times New Roman"/>
          <w:sz w:val="28"/>
          <w:szCs w:val="28"/>
        </w:rPr>
        <w:lastRenderedPageBreak/>
        <w:t>среду Академии. Образовательная программа обеспечена необходимым комплектом лицензионного программного обеспечения.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>Имеющаяся материальная база кафедр ИЗКиМ используется полностью в учебном процессе. Для проведения учебных практик достаточно имеющегося количества геодезических приборов.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Для сопровождения учебного процесса имеются топографо-геодезические приборы и инструменты для камеральных работ (планиметры, курвиметры, </w:t>
      </w:r>
      <w:proofErr w:type="spellStart"/>
      <w:r w:rsidRPr="006D6591">
        <w:rPr>
          <w:rFonts w:ascii="Times New Roman" w:eastAsia="Times New Roman" w:hAnsi="Times New Roman" w:cs="Times New Roman"/>
          <w:sz w:val="28"/>
          <w:szCs w:val="28"/>
        </w:rPr>
        <w:t>тахеографы</w:t>
      </w:r>
      <w:proofErr w:type="spellEnd"/>
      <w:r w:rsidRPr="006D6591">
        <w:rPr>
          <w:rFonts w:ascii="Times New Roman" w:eastAsia="Times New Roman" w:hAnsi="Times New Roman" w:cs="Times New Roman"/>
          <w:sz w:val="28"/>
          <w:szCs w:val="28"/>
        </w:rPr>
        <w:t>, нивелирные рейки, вехи телескопические, палетки, линейки поперечного масштаба, учебные топографические карты, линейки Дробышева) и т.д.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>Кафедрой широко используются новые технологии обучения в учебном процессе. По всем дисциплинам, преподаваемым кафедрой, имеются электронные версии лекций, а по ряду дисциплин разработаны по отдельным темам лекции в виде мультимедийных презентаций.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 xml:space="preserve">В ИЗКиМ функционирует </w:t>
      </w:r>
      <w:proofErr w:type="spellStart"/>
      <w:r w:rsidRPr="006D6591">
        <w:rPr>
          <w:rFonts w:ascii="Times New Roman" w:eastAsia="Times New Roman" w:hAnsi="Times New Roman" w:cs="Times New Roman"/>
          <w:sz w:val="28"/>
          <w:szCs w:val="28"/>
        </w:rPr>
        <w:t>геокамера</w:t>
      </w:r>
      <w:proofErr w:type="spellEnd"/>
      <w:r w:rsidRPr="006D6591">
        <w:rPr>
          <w:rFonts w:ascii="Times New Roman" w:eastAsia="Times New Roman" w:hAnsi="Times New Roman" w:cs="Times New Roman"/>
          <w:sz w:val="28"/>
          <w:szCs w:val="28"/>
        </w:rPr>
        <w:t>, оснащенная современным оборудованием и программными продуктами, необходимыми для изучения дисциплин профессионального цикла.</w:t>
      </w:r>
    </w:p>
    <w:p w:rsidR="006D6591" w:rsidRPr="006D6591" w:rsidRDefault="006D6591" w:rsidP="006D6591">
      <w:pPr>
        <w:spacing w:after="0" w:line="360" w:lineRule="auto"/>
        <w:ind w:right="142"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>Для обработки картографической информации материалов используется следующее специализированное программное обеспечение.</w:t>
      </w:r>
    </w:p>
    <w:p w:rsidR="006D6591" w:rsidRPr="006D6591" w:rsidRDefault="006D6591" w:rsidP="006D65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591">
        <w:rPr>
          <w:rFonts w:ascii="Times New Roman" w:eastAsia="Times New Roman" w:hAnsi="Times New Roman" w:cs="Times New Roman"/>
          <w:sz w:val="28"/>
          <w:szCs w:val="28"/>
        </w:rPr>
        <w:t>Реализуемая образовательная программа в полном объёме обеспечена материально-техническими ресурсами в соответствии с ФГОС.</w:t>
      </w:r>
    </w:p>
    <w:p w:rsidR="00BE564D" w:rsidRPr="00BE564D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Образовательный процесс обеспечен необходимым комплектом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лицензионного программного обеспечения, ежегодно обновляется.</w:t>
      </w:r>
    </w:p>
    <w:p w:rsidR="00BC1E1A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Основное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программное обеспечение, используемое в научной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деятельности по направлению подготовки21.04.02 Землеустройство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кадастры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представлено: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4D" w:rsidRPr="00BE564D" w:rsidRDefault="00BE564D" w:rsidP="00BC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64D">
        <w:rPr>
          <w:rFonts w:ascii="Times New Roman" w:hAnsi="Times New Roman" w:cs="Times New Roman"/>
          <w:sz w:val="28"/>
          <w:szCs w:val="28"/>
        </w:rPr>
        <w:t>MapInfoProfessional12.0.1;ArcGIS10.2forDesktop</w:t>
      </w:r>
      <w:proofErr w:type="gramEnd"/>
      <w:r w:rsidRPr="00BE564D">
        <w:rPr>
          <w:rFonts w:ascii="Times New Roman" w:hAnsi="Times New Roman" w:cs="Times New Roman"/>
          <w:sz w:val="28"/>
          <w:szCs w:val="28"/>
        </w:rPr>
        <w:t>;ArcViewGIS3.2,Справочно-равоваясистема«Консультантплюс»MicrosoftOfficeProfessionalPlus;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КРЕДО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ВОРЛДСКИЛЛС.</w:t>
      </w:r>
    </w:p>
    <w:p w:rsidR="00BE564D" w:rsidRPr="00BE564D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Научно-исследовательская работа обучающихся является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обязательным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разделом основной профессиональной образовательной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программы магистратуры и направлена на формирование компетенций в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соответствии с требованиями ФГОС ВО.</w:t>
      </w:r>
    </w:p>
    <w:p w:rsidR="00BE564D" w:rsidRPr="00BE564D" w:rsidRDefault="00BE564D" w:rsidP="00D15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Целью НИР магистранта является формирование и развитие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способностей проведения самостоятельной научно-исследовательской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работы в областях профессиональной деятельности, регламентированных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ФГОС по направлению подготовки 21.04.02 Землеустройство и кадастры, а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также формирование и развитие умений, необходимых для подготовки 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успешной защиты выпускной квалификационной работы магистранта, а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также для дальнейшей научной и профессиональной деятельности.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Академией может предусматриваться следующие виды и этапы выполнения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и контроля научно-исследовательской работы обучающихся:</w:t>
      </w:r>
      <w:r w:rsidR="00D15660">
        <w:rPr>
          <w:rFonts w:ascii="Times New Roman" w:hAnsi="Times New Roman" w:cs="Times New Roman"/>
          <w:sz w:val="28"/>
          <w:szCs w:val="28"/>
        </w:rPr>
        <w:t xml:space="preserve"> </w:t>
      </w:r>
      <w:r w:rsidR="00BC1E1A">
        <w:rPr>
          <w:rFonts w:ascii="Times New Roman" w:hAnsi="Times New Roman" w:cs="Times New Roman"/>
          <w:sz w:val="28"/>
          <w:szCs w:val="28"/>
        </w:rPr>
        <w:t>п</w:t>
      </w:r>
      <w:r w:rsidRPr="00BE564D">
        <w:rPr>
          <w:rFonts w:ascii="Times New Roman" w:hAnsi="Times New Roman" w:cs="Times New Roman"/>
          <w:sz w:val="28"/>
          <w:szCs w:val="28"/>
        </w:rPr>
        <w:t>ланирование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научно</w:t>
      </w:r>
      <w:r w:rsidR="00BC1E1A">
        <w:rPr>
          <w:rFonts w:ascii="Times New Roman" w:hAnsi="Times New Roman" w:cs="Times New Roman"/>
          <w:sz w:val="28"/>
          <w:szCs w:val="28"/>
        </w:rPr>
        <w:t>-</w:t>
      </w:r>
      <w:r w:rsidRPr="00BE564D">
        <w:rPr>
          <w:rFonts w:ascii="Times New Roman" w:hAnsi="Times New Roman" w:cs="Times New Roman"/>
          <w:sz w:val="28"/>
          <w:szCs w:val="28"/>
        </w:rPr>
        <w:t>исследовательской работы, включающее ознакомление с тематикой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исследовательских работ в данной области и выбор темы 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написание реферата по избранной теме; проведение научно-исследовательской работы; корректировка плана проведения научно-</w:t>
      </w:r>
      <w:r w:rsidRPr="00BE564D">
        <w:rPr>
          <w:rFonts w:ascii="Times New Roman" w:hAnsi="Times New Roman" w:cs="Times New Roman"/>
          <w:sz w:val="28"/>
          <w:szCs w:val="28"/>
        </w:rPr>
        <w:t>исследовательской работы; составление отчета о научно-исследовательской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работе; публичная защита выполненной работы.</w:t>
      </w:r>
    </w:p>
    <w:p w:rsidR="00BE564D" w:rsidRPr="00BE564D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Научно-исследовательская работа должна: соответствовать основной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проблематике направления; быть актуальной, иметь научную новизну 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практическую значимость; основываться на современных теоретических,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методических и технологических достижениях отечественной и зарубежной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науки и практики; использовать современную методику научных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исследований; базироваться на современных методах обработки 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интерпретации данных средствами информационных и коммуникационных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технологий. В процессе выполнения научно-исследовательской работы и в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BE564D">
        <w:rPr>
          <w:rFonts w:ascii="Times New Roman" w:hAnsi="Times New Roman" w:cs="Times New Roman"/>
          <w:sz w:val="28"/>
          <w:szCs w:val="28"/>
        </w:rPr>
        <w:t>оде защиты ее результатов должно проводиться широкое обсуждение на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кафедрах «Кадастры и право», «Землеустройство» с привлечением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работодателей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и ведущих исследователей, позволяющее оценить уровень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lastRenderedPageBreak/>
        <w:t>приобретенных знаний, умений и сформированных компетенций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обучающихся. Основанием для аттестации магистра по НИР является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участие в ежегодной научно-практической конференции, опубликованная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научная статья и магистерская диссертация.</w:t>
      </w:r>
    </w:p>
    <w:p w:rsidR="00BE564D" w:rsidRPr="00BE564D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При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осуществлении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практической подготовки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обучающихся в рамках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научно-исследовательской работы используются научно-исследовательские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базы организаций, с которыми заключены договора о практической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подготовке (табл.1).</w:t>
      </w:r>
    </w:p>
    <w:p w:rsidR="00147A81" w:rsidRDefault="00BE564D" w:rsidP="00BE5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4D">
        <w:rPr>
          <w:rFonts w:ascii="Times New Roman" w:hAnsi="Times New Roman" w:cs="Times New Roman"/>
          <w:sz w:val="28"/>
          <w:szCs w:val="28"/>
        </w:rPr>
        <w:t>Таблица1</w:t>
      </w:r>
      <w:r w:rsidR="0064165D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–</w:t>
      </w:r>
      <w:r w:rsidR="0064165D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Реестр договоров о сотрудничестве по практической подготовке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BE564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E564D">
        <w:rPr>
          <w:rFonts w:ascii="Times New Roman" w:hAnsi="Times New Roman" w:cs="Times New Roman"/>
          <w:sz w:val="28"/>
          <w:szCs w:val="28"/>
        </w:rPr>
        <w:t>.</w:t>
      </w:r>
      <w:r w:rsidR="00BC1E1A"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научно-исследовательская работа)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21.04.02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64D">
        <w:rPr>
          <w:rFonts w:ascii="Times New Roman" w:hAnsi="Times New Roman" w:cs="Times New Roman"/>
          <w:sz w:val="28"/>
          <w:szCs w:val="28"/>
        </w:rPr>
        <w:t>Землеустройство и кадастры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704"/>
        <w:gridCol w:w="1559"/>
        <w:gridCol w:w="4673"/>
        <w:gridCol w:w="2557"/>
      </w:tblGrid>
      <w:tr w:rsidR="009A0B49" w:rsidRPr="00445BFF" w:rsidTr="00DF075E">
        <w:tc>
          <w:tcPr>
            <w:tcW w:w="704" w:type="dxa"/>
            <w:vAlign w:val="center"/>
          </w:tcPr>
          <w:p w:rsidR="009A0B49" w:rsidRPr="00445BFF" w:rsidRDefault="009A0B49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9A0B49" w:rsidRPr="00445BFF" w:rsidRDefault="009A0B49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4673" w:type="dxa"/>
            <w:vAlign w:val="center"/>
          </w:tcPr>
          <w:p w:rsidR="009A0B49" w:rsidRPr="00445BFF" w:rsidRDefault="009A0B49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57" w:type="dxa"/>
            <w:vAlign w:val="center"/>
          </w:tcPr>
          <w:p w:rsidR="009A0B49" w:rsidRPr="00445BFF" w:rsidRDefault="009A0B49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491998" w:rsidRPr="00445BFF" w:rsidTr="00020A70">
        <w:tc>
          <w:tcPr>
            <w:tcW w:w="704" w:type="dxa"/>
            <w:vAlign w:val="center"/>
          </w:tcPr>
          <w:p w:rsidR="0049199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491998" w:rsidRPr="00445BFF" w:rsidRDefault="0049199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ИЗ-62</w:t>
            </w:r>
          </w:p>
        </w:tc>
        <w:tc>
          <w:tcPr>
            <w:tcW w:w="4673" w:type="dxa"/>
            <w:vAlign w:val="bottom"/>
          </w:tcPr>
          <w:p w:rsidR="00491998" w:rsidRPr="00445BFF" w:rsidRDefault="0049199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МКУ Комитет по развитию инфраструктуры Администрации МО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7" w:type="dxa"/>
            <w:vAlign w:val="center"/>
          </w:tcPr>
          <w:p w:rsidR="00491998" w:rsidRPr="00445BFF" w:rsidRDefault="0049199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491998" w:rsidRPr="00445BFF" w:rsidTr="00020A70">
        <w:tc>
          <w:tcPr>
            <w:tcW w:w="704" w:type="dxa"/>
            <w:vAlign w:val="center"/>
          </w:tcPr>
          <w:p w:rsidR="0049199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:rsidR="00491998" w:rsidRPr="00445BFF" w:rsidRDefault="0049199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ИЗ-63</w:t>
            </w:r>
          </w:p>
        </w:tc>
        <w:tc>
          <w:tcPr>
            <w:tcW w:w="4673" w:type="dxa"/>
            <w:vAlign w:val="bottom"/>
          </w:tcPr>
          <w:p w:rsidR="00491998" w:rsidRPr="00445BFF" w:rsidRDefault="0049199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МКУ АМО "Город Кяхта"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Кяхтинского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РБ </w:t>
            </w:r>
          </w:p>
        </w:tc>
        <w:tc>
          <w:tcPr>
            <w:tcW w:w="2557" w:type="dxa"/>
            <w:vAlign w:val="center"/>
          </w:tcPr>
          <w:p w:rsidR="00491998" w:rsidRPr="00445BFF" w:rsidRDefault="0049199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ИЗ-71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Тамирское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Кяхтиского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ИЗ-72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Шарагольское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ИЗ-73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Мурочинское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ИЗ-74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Усть-Кяхтинское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ИЗ-75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Большекударинское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ИЗ-76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Усть-Киранское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ИЗ-77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Чикойское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ИЗ-78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"Первомайское"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ИЗ-79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Зарянское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ИЗ-80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Кударинское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ИЗ-81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СП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Большелугское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ИЗ-82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ИЗ-82а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Администрация Байкальского городского поселения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ИЗ-83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АМО "Кижингинский район"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ИЗ-85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МКУ 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район" Комитет по экономическому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развиию</w:t>
            </w:r>
            <w:proofErr w:type="spellEnd"/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ИЗ-86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ТываБизнесКонсалтинг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15.01.2024-31.12.2029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ИЗ-87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МКУ "Комитет строительства, имущественных и земельных отношений" АМО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15.01.2024-31.12.2029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ИЗ-88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АМО сельского поселения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Нижнеиволгинское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15.01.2024-31.12.2029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ИЗ-89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15.01.2024-31.12.2029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ИЗ-90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Минземимущество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15.01.2024-31.12.2029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ИЗ-91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ЛенСпецСМУ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-Реконструкция"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01.03.2024-31.12.2029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ИЗ-92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Сут-Хольский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РТ"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01.03.2024-31.12.2029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ИЗ-93</w:t>
            </w:r>
          </w:p>
        </w:tc>
        <w:tc>
          <w:tcPr>
            <w:tcW w:w="4673" w:type="dxa"/>
            <w:vAlign w:val="bottom"/>
          </w:tcPr>
          <w:p w:rsidR="00EE69A8" w:rsidRPr="00445BFF" w:rsidRDefault="00EE69A8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ТываБизнесКонсалтинг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EE69A8" w:rsidRPr="00445BFF" w:rsidRDefault="00EE69A8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EE69A8" w:rsidRPr="00445BFF" w:rsidTr="00020A70">
        <w:tc>
          <w:tcPr>
            <w:tcW w:w="704" w:type="dxa"/>
            <w:vAlign w:val="center"/>
          </w:tcPr>
          <w:p w:rsidR="00EE69A8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vAlign w:val="center"/>
          </w:tcPr>
          <w:p w:rsidR="00EE69A8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ИЗ-99</w:t>
            </w:r>
          </w:p>
        </w:tc>
        <w:tc>
          <w:tcPr>
            <w:tcW w:w="4673" w:type="dxa"/>
            <w:vAlign w:val="bottom"/>
          </w:tcPr>
          <w:p w:rsidR="00EE69A8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Межрегиональное территориальное управление Федерального аген</w:t>
            </w:r>
            <w:r w:rsidR="00E72B11" w:rsidRPr="00445B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ства по управлению государственным имуществом в Забайкальском крае и РБ</w:t>
            </w:r>
          </w:p>
        </w:tc>
        <w:tc>
          <w:tcPr>
            <w:tcW w:w="2557" w:type="dxa"/>
            <w:vAlign w:val="center"/>
          </w:tcPr>
          <w:p w:rsidR="00EE69A8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28.02.2025-31.12.2030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ИЗ-101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Стройинком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14.05.2025-31.12.2030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ИЗ-102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РБ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19.01.2026-31.12.2031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ИЗ-103/1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19.01.2026-31.12.2031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ИЗ-103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г. Улан-Удэ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19.01.2026-31.12.2031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ИЗ-104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архитектуры, градостроительства и земельных отношений мэрии г. Кызыл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19.01.2026-31.12.2031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ИЗ-105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"Геосфера"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20.01.2026-31.12.2031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ИЗ-106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Администрация 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 РТ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20.01.2026-31.12.2031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ИЗ-107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Администрация ГО "Поселок Агинское" Забайкальский край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20.01.2026-31.12.2031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ИЗ-108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"Техническая инвентаризация"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ИЗ-109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ГБУ РБ "Центр государственной кадастровой оценки"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ИЗ-110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"ГСП-2"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ИЗ-111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Бурятгеопроект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ИЗ-112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Тыва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ИЗ-114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ИП "Суходаев М.В."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ИЗ-115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Министерство туризма РБ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26.01.2026-31.12.2031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ИЗ-118</w:t>
            </w:r>
          </w:p>
        </w:tc>
        <w:tc>
          <w:tcPr>
            <w:tcW w:w="4673" w:type="dxa"/>
            <w:vAlign w:val="center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</w:t>
            </w:r>
            <w:r w:rsidR="008E4B68" w:rsidRPr="00445B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а и картографии РБ  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ИЗ-123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АМО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ИЗ-124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АМР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Чаа-Хольский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026/Ф-26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ППП "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Роскадастр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" "Дальневосточное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аэрогеодезическое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09.04.2026-31.12.2027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ИЗ-127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МУ "Комитет по развитию инфраструктуры" </w:t>
            </w:r>
            <w:proofErr w:type="spellStart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Pr="00445BF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09.04.2026-31.12.2030</w:t>
            </w:r>
          </w:p>
        </w:tc>
      </w:tr>
      <w:tr w:rsidR="00BE11C3" w:rsidRPr="00445BFF" w:rsidTr="00020A70">
        <w:tc>
          <w:tcPr>
            <w:tcW w:w="704" w:type="dxa"/>
            <w:vAlign w:val="center"/>
          </w:tcPr>
          <w:p w:rsidR="00BE11C3" w:rsidRPr="00445BFF" w:rsidRDefault="00020A70" w:rsidP="0044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59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ИЗ-128</w:t>
            </w:r>
          </w:p>
        </w:tc>
        <w:tc>
          <w:tcPr>
            <w:tcW w:w="4673" w:type="dxa"/>
            <w:vAlign w:val="bottom"/>
          </w:tcPr>
          <w:p w:rsidR="00BE11C3" w:rsidRPr="00445BFF" w:rsidRDefault="00BE11C3" w:rsidP="0044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АМО "Город Закаменск"</w:t>
            </w:r>
          </w:p>
        </w:tc>
        <w:tc>
          <w:tcPr>
            <w:tcW w:w="2557" w:type="dxa"/>
            <w:vAlign w:val="center"/>
          </w:tcPr>
          <w:p w:rsidR="00BE11C3" w:rsidRPr="00445BFF" w:rsidRDefault="00BE11C3" w:rsidP="0002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BFF">
              <w:rPr>
                <w:rFonts w:ascii="Times New Roman" w:hAnsi="Times New Roman" w:cs="Times New Roman"/>
                <w:sz w:val="24"/>
                <w:szCs w:val="24"/>
              </w:rPr>
              <w:t>09.04.2026-31.12.2031</w:t>
            </w:r>
          </w:p>
        </w:tc>
      </w:tr>
    </w:tbl>
    <w:p w:rsidR="009A0B49" w:rsidRPr="006737E8" w:rsidRDefault="009A0B49" w:rsidP="009A0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B49" w:rsidRDefault="009A0B49" w:rsidP="009A0B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64D" w:rsidRPr="009B7D5A" w:rsidRDefault="00BE564D" w:rsidP="009B7D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564D" w:rsidRPr="009B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B7BD4"/>
    <w:multiLevelType w:val="hybridMultilevel"/>
    <w:tmpl w:val="7F929B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5A"/>
    <w:rsid w:val="0001177D"/>
    <w:rsid w:val="00020A70"/>
    <w:rsid w:val="00022046"/>
    <w:rsid w:val="000C4903"/>
    <w:rsid w:val="000D2C99"/>
    <w:rsid w:val="00147A81"/>
    <w:rsid w:val="00154430"/>
    <w:rsid w:val="0016406E"/>
    <w:rsid w:val="00240769"/>
    <w:rsid w:val="002D44B8"/>
    <w:rsid w:val="00370FA8"/>
    <w:rsid w:val="003825DF"/>
    <w:rsid w:val="003A44EE"/>
    <w:rsid w:val="003E72BF"/>
    <w:rsid w:val="004244B9"/>
    <w:rsid w:val="00432CBA"/>
    <w:rsid w:val="00445BFF"/>
    <w:rsid w:val="00491998"/>
    <w:rsid w:val="004D339F"/>
    <w:rsid w:val="004E20F9"/>
    <w:rsid w:val="00542F1F"/>
    <w:rsid w:val="005A1A54"/>
    <w:rsid w:val="005B3A36"/>
    <w:rsid w:val="005D4EF8"/>
    <w:rsid w:val="0064165D"/>
    <w:rsid w:val="00670D9F"/>
    <w:rsid w:val="006C60D5"/>
    <w:rsid w:val="006D6591"/>
    <w:rsid w:val="006F15C0"/>
    <w:rsid w:val="00740A74"/>
    <w:rsid w:val="00810597"/>
    <w:rsid w:val="008E4B68"/>
    <w:rsid w:val="009754FD"/>
    <w:rsid w:val="009A0B49"/>
    <w:rsid w:val="009B1052"/>
    <w:rsid w:val="009B7D5A"/>
    <w:rsid w:val="009C046B"/>
    <w:rsid w:val="009D29D4"/>
    <w:rsid w:val="00A73628"/>
    <w:rsid w:val="00A83A73"/>
    <w:rsid w:val="00AD035E"/>
    <w:rsid w:val="00B34CF8"/>
    <w:rsid w:val="00B7517D"/>
    <w:rsid w:val="00BB5A1E"/>
    <w:rsid w:val="00BC1E1A"/>
    <w:rsid w:val="00BE11C3"/>
    <w:rsid w:val="00BE564D"/>
    <w:rsid w:val="00C02B37"/>
    <w:rsid w:val="00D15660"/>
    <w:rsid w:val="00DE3427"/>
    <w:rsid w:val="00E64980"/>
    <w:rsid w:val="00E72B11"/>
    <w:rsid w:val="00E72EF6"/>
    <w:rsid w:val="00ED1A31"/>
    <w:rsid w:val="00EE69A8"/>
    <w:rsid w:val="00F50C1F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7DDB-98D6-4554-9B51-F725A5FD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E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0A74"/>
    <w:rPr>
      <w:color w:val="0563C1" w:themeColor="hyperlink"/>
      <w:u w:val="single"/>
    </w:rPr>
  </w:style>
  <w:style w:type="table" w:styleId="-11">
    <w:name w:val="Grid Table 1 Light Accent 1"/>
    <w:basedOn w:val="a1"/>
    <w:uiPriority w:val="46"/>
    <w:rsid w:val="00740A74"/>
    <w:pPr>
      <w:spacing w:after="0" w:line="240" w:lineRule="auto"/>
    </w:pPr>
    <w:rPr>
      <w:rFonts w:ascii="Times New Roman" w:hAnsi="Times New Roman"/>
      <w:sz w:val="25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39"/>
    <w:rsid w:val="009A0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talog/full" TargetMode="External"/><Relationship Id="rId13" Type="http://schemas.openxmlformats.org/officeDocument/2006/relationships/hyperlink" Target="https://podpiska.rcsi.science/news/990/" TargetMode="External"/><Relationship Id="rId18" Type="http://schemas.openxmlformats.org/officeDocument/2006/relationships/hyperlink" Target="https://podpiska.rcsi.science/news/99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piska.rcsi.science/news/1061/" TargetMode="External"/><Relationship Id="rId7" Type="http://schemas.openxmlformats.org/officeDocument/2006/relationships/hyperlink" Target="https://new.znanium.com/" TargetMode="External"/><Relationship Id="rId12" Type="http://schemas.openxmlformats.org/officeDocument/2006/relationships/hyperlink" Target="https://podpiska.rcsi.science/news/990/" TargetMode="External"/><Relationship Id="rId17" Type="http://schemas.openxmlformats.org/officeDocument/2006/relationships/hyperlink" Target="https://podpiska.rcsi.science/news/99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dpiska.rcsi.science/news/990/" TargetMode="External"/><Relationship Id="rId20" Type="http://schemas.openxmlformats.org/officeDocument/2006/relationships/hyperlink" Target="https://podpiska.rcsi.science/news/99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" TargetMode="External"/><Relationship Id="rId11" Type="http://schemas.openxmlformats.org/officeDocument/2006/relationships/hyperlink" Target="https://podpiska.rcsi.science/news/990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lib.bgsha.ru/index.php?option=com_content&amp;view=article&amp;id=43&amp;Itemid=554" TargetMode="External"/><Relationship Id="rId15" Type="http://schemas.openxmlformats.org/officeDocument/2006/relationships/hyperlink" Target="https://podpiska.rcsi.science/news/990/" TargetMode="External"/><Relationship Id="rId23" Type="http://schemas.openxmlformats.org/officeDocument/2006/relationships/hyperlink" Target="https://elib.bgsha.ru/" TargetMode="External"/><Relationship Id="rId10" Type="http://schemas.openxmlformats.org/officeDocument/2006/relationships/hyperlink" Target="https://podpiska.rcsi.science/news/990/" TargetMode="External"/><Relationship Id="rId19" Type="http://schemas.openxmlformats.org/officeDocument/2006/relationships/hyperlink" Target="https://podpiska.rcsi.science/news/9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piska.rcsi.science/news/990/" TargetMode="External"/><Relationship Id="rId14" Type="http://schemas.openxmlformats.org/officeDocument/2006/relationships/hyperlink" Target="https://podpiska.rcsi.science/news/990/" TargetMode="External"/><Relationship Id="rId22" Type="http://schemas.openxmlformats.org/officeDocument/2006/relationships/hyperlink" Target="https://elib.bgsha.ru/index.php?option=com_content&amp;view=article&amp;id=26&amp;Itemid=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528</dc:creator>
  <cp:keywords/>
  <dc:description/>
  <cp:lastModifiedBy>528</cp:lastModifiedBy>
  <cp:revision>140</cp:revision>
  <dcterms:created xsi:type="dcterms:W3CDTF">2026-05-12T10:05:00Z</dcterms:created>
  <dcterms:modified xsi:type="dcterms:W3CDTF">2026-05-14T07:00:00Z</dcterms:modified>
</cp:coreProperties>
</file>